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left"/>
        <w:outlineLvl w:val="0"/>
        <w:rPr>
          <w:rFonts w:hint="eastAsia" w:ascii="黑体" w:hAnsi="黑体" w:eastAsia="黑体" w:cs="黑体"/>
          <w:sz w:val="32"/>
          <w:szCs w:val="32"/>
          <w:lang w:val="en-US" w:eastAsia="zh-CN"/>
        </w:rPr>
      </w:pPr>
      <w:bookmarkStart w:id="1" w:name="_GoBack"/>
      <w:bookmarkEnd w:id="1"/>
      <w:bookmarkStart w:id="0" w:name="_Toc7457"/>
      <w:r>
        <w:rPr>
          <w:rFonts w:hint="eastAsia" w:ascii="黑体" w:hAnsi="黑体" w:eastAsia="黑体" w:cs="黑体"/>
          <w:sz w:val="32"/>
          <w:szCs w:val="32"/>
          <w:lang w:val="en-US" w:eastAsia="zh-CN"/>
        </w:rPr>
        <w:t>附件</w:t>
      </w:r>
      <w:bookmarkEnd w:id="0"/>
      <w:r>
        <w:rPr>
          <w:rFonts w:hint="eastAsia" w:ascii="黑体" w:hAnsi="黑体" w:eastAsia="黑体" w:cs="黑体"/>
          <w:sz w:val="32"/>
          <w:szCs w:val="32"/>
          <w:lang w:val="en-US" w:eastAsia="zh-CN"/>
        </w:rPr>
        <w:t>2</w:t>
      </w:r>
    </w:p>
    <w:p>
      <w:pPr>
        <w:jc w:val="center"/>
        <w:rPr>
          <w:rFonts w:hint="eastAsia" w:ascii="仿宋" w:hAnsi="仿宋" w:eastAsia="仿宋"/>
          <w:b/>
          <w:bCs/>
          <w:sz w:val="28"/>
          <w:szCs w:val="28"/>
        </w:rPr>
      </w:pPr>
    </w:p>
    <w:p>
      <w:pPr>
        <w:ind w:left="0" w:leftChars="0" w:firstLine="0" w:firstLineChars="0"/>
        <w:jc w:val="both"/>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w:t>
      </w:r>
      <w:r>
        <w:rPr>
          <w:rStyle w:val="12"/>
          <w:rFonts w:hint="eastAsia" w:ascii="宋体" w:hAnsi="宋体" w:eastAsia="宋体" w:cs="宋体"/>
          <w:i w:val="0"/>
          <w:iCs w:val="0"/>
          <w:caps w:val="0"/>
          <w:color w:val="000000"/>
          <w:spacing w:val="0"/>
          <w:kern w:val="0"/>
          <w:sz w:val="44"/>
          <w:szCs w:val="44"/>
          <w:highlight w:val="none"/>
          <w:lang w:val="en-US" w:eastAsia="zh-CN" w:bidi="ar"/>
        </w:rPr>
        <w:t>国库集中支付系统信创建设和技术改造项目</w:t>
      </w:r>
      <w:r>
        <w:rPr>
          <w:rFonts w:hint="eastAsia" w:asciiTheme="majorEastAsia" w:hAnsiTheme="majorEastAsia" w:eastAsiaTheme="majorEastAsia" w:cstheme="majorEastAsia"/>
          <w:b/>
          <w:bCs/>
          <w:sz w:val="44"/>
          <w:szCs w:val="44"/>
        </w:rPr>
        <w:t>》供应商征集反馈材料-公司名称（全称）</w:t>
      </w:r>
    </w:p>
    <w:p>
      <w:pPr>
        <w:jc w:val="left"/>
        <w:rPr>
          <w:rFonts w:ascii="仿宋" w:hAnsi="仿宋" w:eastAsia="仿宋"/>
          <w:b/>
          <w:bCs/>
          <w:sz w:val="28"/>
          <w:szCs w:val="28"/>
        </w:rPr>
      </w:pPr>
    </w:p>
    <w:p>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第一部分 项目要求应答部分</w:t>
      </w:r>
    </w:p>
    <w:tbl>
      <w:tblPr>
        <w:tblStyle w:val="10"/>
        <w:tblW w:w="9563" w:type="dxa"/>
        <w:tblInd w:w="-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51"/>
        <w:gridCol w:w="1575"/>
        <w:gridCol w:w="21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85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textAlignment w:val="auto"/>
              <w:rPr>
                <w:rFonts w:hint="eastAsia" w:ascii="仿宋" w:hAnsi="仿宋" w:eastAsia="仿宋" w:cs="仿宋"/>
                <w:b/>
                <w:bCs/>
                <w:sz w:val="28"/>
                <w:szCs w:val="28"/>
              </w:rPr>
            </w:pPr>
            <w:r>
              <w:rPr>
                <w:rFonts w:hint="eastAsia" w:ascii="仿宋" w:hAnsi="仿宋" w:eastAsia="仿宋" w:cs="仿宋"/>
                <w:b/>
                <w:bCs/>
                <w:sz w:val="28"/>
                <w:szCs w:val="28"/>
              </w:rPr>
              <w:t>审核事项</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textAlignment w:val="auto"/>
              <w:rPr>
                <w:rFonts w:hint="eastAsia" w:ascii="仿宋" w:hAnsi="仿宋" w:eastAsia="仿宋" w:cs="仿宋"/>
                <w:b/>
                <w:bCs/>
                <w:sz w:val="28"/>
                <w:szCs w:val="28"/>
              </w:rPr>
            </w:pPr>
            <w:r>
              <w:rPr>
                <w:rFonts w:hint="eastAsia" w:ascii="仿宋" w:hAnsi="仿宋" w:eastAsia="仿宋" w:cs="仿宋"/>
                <w:b/>
                <w:bCs/>
                <w:sz w:val="28"/>
                <w:szCs w:val="28"/>
              </w:rPr>
              <w:t>是否满足（是/否）</w:t>
            </w: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基本情况说明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9563"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jc w:val="left"/>
              <w:textAlignment w:val="auto"/>
              <w:rPr>
                <w:rFonts w:hint="eastAsia" w:ascii="仿宋" w:hAnsi="仿宋" w:eastAsia="仿宋" w:cs="仿宋"/>
                <w:b/>
                <w:bCs/>
                <w:sz w:val="28"/>
                <w:szCs w:val="28"/>
              </w:rPr>
            </w:pPr>
            <w:r>
              <w:rPr>
                <w:rFonts w:hint="eastAsia" w:ascii="仿宋" w:hAnsi="仿宋" w:eastAsia="仿宋" w:cs="仿宋"/>
                <w:b/>
                <w:bCs/>
                <w:sz w:val="28"/>
                <w:szCs w:val="28"/>
              </w:rPr>
              <w:t>一、采购需求及资格要求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851" w:type="dxa"/>
            <w:vAlign w:val="center"/>
          </w:tcPr>
          <w:p>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tLeast"/>
              <w:ind w:left="0" w:right="0" w:firstLine="640"/>
              <w:textAlignment w:val="auto"/>
              <w:rPr>
                <w:rFonts w:hint="eastAsia" w:ascii="仿宋" w:hAnsi="仿宋" w:eastAsia="仿宋" w:cs="仿宋"/>
                <w:b/>
                <w:bCs/>
                <w:sz w:val="28"/>
                <w:szCs w:val="28"/>
              </w:rPr>
            </w:pPr>
            <w:r>
              <w:rPr>
                <w:rFonts w:hint="eastAsia" w:ascii="仿宋" w:hAnsi="仿宋" w:eastAsia="仿宋" w:cs="仿宋"/>
                <w:b/>
                <w:bCs/>
                <w:sz w:val="28"/>
                <w:szCs w:val="28"/>
              </w:rPr>
              <w:t>1.1采购需求</w:t>
            </w:r>
          </w:p>
          <w:p>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tLeast"/>
              <w:ind w:left="0" w:right="0" w:firstLine="640"/>
              <w:textAlignment w:val="auto"/>
              <w:rPr>
                <w:rFonts w:hint="eastAsia" w:ascii="仿宋" w:hAnsi="仿宋" w:eastAsia="仿宋" w:cs="仿宋"/>
                <w:i w:val="0"/>
                <w:iCs w:val="0"/>
                <w:caps w:val="0"/>
                <w:color w:val="000000"/>
                <w:spacing w:val="0"/>
                <w:sz w:val="28"/>
                <w:szCs w:val="28"/>
                <w:highlight w:val="none"/>
              </w:rPr>
            </w:pPr>
            <w:r>
              <w:rPr>
                <w:rFonts w:hint="eastAsia" w:ascii="仿宋" w:hAnsi="仿宋" w:eastAsia="仿宋" w:cs="仿宋"/>
                <w:i w:val="0"/>
                <w:iCs w:val="0"/>
                <w:caps w:val="0"/>
                <w:color w:val="000000"/>
                <w:spacing w:val="0"/>
                <w:sz w:val="28"/>
                <w:szCs w:val="28"/>
                <w:highlight w:val="none"/>
              </w:rPr>
              <w:t>本项目拟信创升级国库集中支付</w:t>
            </w:r>
            <w:r>
              <w:rPr>
                <w:rFonts w:hint="eastAsia" w:ascii="仿宋" w:hAnsi="仿宋" w:eastAsia="仿宋" w:cs="仿宋"/>
                <w:i w:val="0"/>
                <w:iCs w:val="0"/>
                <w:caps w:val="0"/>
                <w:color w:val="000000"/>
                <w:spacing w:val="0"/>
                <w:sz w:val="28"/>
                <w:szCs w:val="28"/>
                <w:highlight w:val="none"/>
                <w:lang w:val="en-US" w:eastAsia="zh-CN"/>
              </w:rPr>
              <w:t>柜面系统</w:t>
            </w:r>
            <w:r>
              <w:rPr>
                <w:rFonts w:hint="eastAsia" w:ascii="仿宋" w:hAnsi="仿宋" w:eastAsia="仿宋" w:cs="仿宋"/>
                <w:i w:val="0"/>
                <w:iCs w:val="0"/>
                <w:caps w:val="0"/>
                <w:color w:val="000000"/>
                <w:spacing w:val="0"/>
                <w:sz w:val="28"/>
                <w:szCs w:val="28"/>
                <w:highlight w:val="none"/>
              </w:rPr>
              <w:t>，系统基于北京中科江南信息技术股份有限公司的产品开发，我</w:t>
            </w:r>
            <w:r>
              <w:rPr>
                <w:rFonts w:hint="eastAsia" w:ascii="仿宋" w:hAnsi="仿宋" w:eastAsia="仿宋" w:cs="仿宋"/>
                <w:i w:val="0"/>
                <w:iCs w:val="0"/>
                <w:caps w:val="0"/>
                <w:color w:val="000000"/>
                <w:spacing w:val="0"/>
                <w:sz w:val="28"/>
                <w:szCs w:val="28"/>
                <w:highlight w:val="none"/>
                <w:lang w:val="en-US" w:eastAsia="zh-CN"/>
              </w:rPr>
              <w:t>行</w:t>
            </w:r>
            <w:r>
              <w:rPr>
                <w:rFonts w:hint="eastAsia" w:ascii="仿宋" w:hAnsi="仿宋" w:eastAsia="仿宋" w:cs="仿宋"/>
                <w:i w:val="0"/>
                <w:iCs w:val="0"/>
                <w:caps w:val="0"/>
                <w:color w:val="000000"/>
                <w:spacing w:val="0"/>
                <w:sz w:val="28"/>
                <w:szCs w:val="28"/>
                <w:highlight w:val="none"/>
              </w:rPr>
              <w:t>无源代码，实施内容包括但不限于：</w:t>
            </w:r>
          </w:p>
          <w:p>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tLeast"/>
              <w:ind w:left="0" w:right="0" w:firstLine="640"/>
              <w:textAlignment w:val="auto"/>
              <w:rPr>
                <w:rFonts w:hint="default" w:ascii="仿宋" w:hAnsi="仿宋" w:eastAsia="仿宋" w:cs="仿宋"/>
                <w:i w:val="0"/>
                <w:iCs w:val="0"/>
                <w:caps w:val="0"/>
                <w:color w:val="000000"/>
                <w:spacing w:val="0"/>
                <w:sz w:val="28"/>
                <w:szCs w:val="28"/>
                <w:highlight w:val="none"/>
              </w:rPr>
            </w:pPr>
            <w:r>
              <w:rPr>
                <w:rFonts w:hint="default" w:ascii="仿宋" w:hAnsi="仿宋" w:eastAsia="仿宋" w:cs="仿宋"/>
                <w:i w:val="0"/>
                <w:iCs w:val="0"/>
                <w:caps w:val="0"/>
                <w:color w:val="000000"/>
                <w:spacing w:val="0"/>
                <w:sz w:val="28"/>
                <w:szCs w:val="28"/>
                <w:highlight w:val="none"/>
              </w:rPr>
              <w:t>1、应用由虚拟机部署转为上云部署</w:t>
            </w:r>
          </w:p>
          <w:p>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tLeast"/>
              <w:ind w:left="0" w:right="0" w:firstLine="640"/>
              <w:textAlignment w:val="auto"/>
              <w:rPr>
                <w:rFonts w:hint="default" w:ascii="仿宋" w:hAnsi="仿宋" w:eastAsia="仿宋" w:cs="仿宋"/>
                <w:i w:val="0"/>
                <w:iCs w:val="0"/>
                <w:caps w:val="0"/>
                <w:color w:val="000000"/>
                <w:spacing w:val="0"/>
                <w:sz w:val="28"/>
                <w:szCs w:val="28"/>
                <w:highlight w:val="none"/>
                <w:lang w:val="en-US" w:eastAsia="zh-CN"/>
              </w:rPr>
            </w:pPr>
            <w:r>
              <w:rPr>
                <w:rFonts w:hint="default" w:ascii="仿宋" w:hAnsi="仿宋" w:eastAsia="仿宋" w:cs="仿宋"/>
                <w:i w:val="0"/>
                <w:iCs w:val="0"/>
                <w:caps w:val="0"/>
                <w:color w:val="000000"/>
                <w:spacing w:val="0"/>
                <w:sz w:val="28"/>
                <w:szCs w:val="28"/>
                <w:highlight w:val="none"/>
              </w:rPr>
              <w:t>2、数据库由oracle升级为</w:t>
            </w:r>
            <w:r>
              <w:rPr>
                <w:rFonts w:hint="eastAsia" w:ascii="仿宋" w:hAnsi="仿宋" w:eastAsia="仿宋" w:cs="仿宋"/>
                <w:i w:val="0"/>
                <w:iCs w:val="0"/>
                <w:caps w:val="0"/>
                <w:color w:val="000000"/>
                <w:spacing w:val="0"/>
                <w:sz w:val="28"/>
                <w:szCs w:val="28"/>
                <w:highlight w:val="none"/>
                <w:lang w:val="en-US" w:eastAsia="zh-CN"/>
              </w:rPr>
              <w:t>达梦数据库</w:t>
            </w:r>
          </w:p>
          <w:p>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tLeast"/>
              <w:ind w:left="0" w:right="0" w:firstLine="640"/>
              <w:textAlignment w:val="auto"/>
              <w:rPr>
                <w:rFonts w:hint="default" w:ascii="仿宋" w:hAnsi="仿宋" w:eastAsia="仿宋" w:cs="仿宋"/>
                <w:i w:val="0"/>
                <w:iCs w:val="0"/>
                <w:caps w:val="0"/>
                <w:color w:val="000000"/>
                <w:spacing w:val="0"/>
                <w:sz w:val="28"/>
                <w:szCs w:val="28"/>
                <w:highlight w:val="none"/>
              </w:rPr>
            </w:pPr>
            <w:r>
              <w:rPr>
                <w:rFonts w:hint="default" w:ascii="仿宋" w:hAnsi="仿宋" w:eastAsia="仿宋" w:cs="仿宋"/>
                <w:i w:val="0"/>
                <w:iCs w:val="0"/>
                <w:caps w:val="0"/>
                <w:color w:val="000000"/>
                <w:spacing w:val="0"/>
                <w:sz w:val="28"/>
                <w:szCs w:val="28"/>
                <w:highlight w:val="none"/>
              </w:rPr>
              <w:t>3、应用软硬件国产化改造</w:t>
            </w:r>
          </w:p>
          <w:p>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tLeast"/>
              <w:ind w:left="0" w:leftChars="0" w:firstLine="560" w:firstLineChars="200"/>
              <w:textAlignment w:val="auto"/>
              <w:rPr>
                <w:rFonts w:hint="eastAsia" w:ascii="仿宋" w:hAnsi="仿宋" w:eastAsia="仿宋" w:cs="仿宋"/>
                <w:sz w:val="28"/>
                <w:szCs w:val="28"/>
              </w:rPr>
            </w:pPr>
            <w:r>
              <w:rPr>
                <w:rFonts w:hint="default" w:ascii="仿宋" w:hAnsi="仿宋" w:eastAsia="仿宋" w:cs="仿宋"/>
                <w:i w:val="0"/>
                <w:iCs w:val="0"/>
                <w:caps w:val="0"/>
                <w:color w:val="000000"/>
                <w:spacing w:val="0"/>
                <w:sz w:val="28"/>
                <w:szCs w:val="28"/>
                <w:highlight w:val="none"/>
              </w:rPr>
              <w:t>项目预计实施周期为</w:t>
            </w:r>
            <w:r>
              <w:rPr>
                <w:rFonts w:hint="eastAsia" w:ascii="仿宋" w:hAnsi="仿宋" w:eastAsia="仿宋" w:cs="仿宋"/>
                <w:i w:val="0"/>
                <w:iCs w:val="0"/>
                <w:caps w:val="0"/>
                <w:color w:val="000000"/>
                <w:spacing w:val="0"/>
                <w:sz w:val="28"/>
                <w:szCs w:val="28"/>
                <w:highlight w:val="none"/>
                <w:lang w:val="en-US" w:eastAsia="zh-CN"/>
              </w:rPr>
              <w:t>4</w:t>
            </w:r>
            <w:r>
              <w:rPr>
                <w:rFonts w:hint="default" w:ascii="仿宋" w:hAnsi="仿宋" w:eastAsia="仿宋" w:cs="仿宋"/>
                <w:i w:val="0"/>
                <w:iCs w:val="0"/>
                <w:caps w:val="0"/>
                <w:color w:val="000000"/>
                <w:spacing w:val="0"/>
                <w:sz w:val="28"/>
                <w:szCs w:val="28"/>
                <w:highlight w:val="none"/>
              </w:rPr>
              <w:t>个月。</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9563"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1.2</w:t>
            </w:r>
            <w:r>
              <w:rPr>
                <w:rFonts w:hint="eastAsia" w:ascii="仿宋" w:hAnsi="仿宋" w:eastAsia="仿宋" w:cs="仿宋"/>
                <w:b/>
                <w:bCs/>
                <w:sz w:val="28"/>
                <w:szCs w:val="28"/>
                <w:lang w:val="en-US" w:eastAsia="zh-CN"/>
              </w:rPr>
              <w:t>技术</w:t>
            </w:r>
            <w:r>
              <w:rPr>
                <w:rFonts w:hint="eastAsia" w:ascii="仿宋" w:hAnsi="仿宋" w:eastAsia="仿宋" w:cs="仿宋"/>
                <w:b/>
                <w:bCs/>
                <w:sz w:val="28"/>
                <w:szCs w:val="28"/>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851" w:type="dxa"/>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1" w:after="0" w:afterAutospacing="1" w:line="240" w:lineRule="atLeast"/>
              <w:ind w:left="0" w:right="0" w:firstLine="640"/>
              <w:jc w:val="left"/>
              <w:textAlignment w:val="auto"/>
              <w:rPr>
                <w:rFonts w:hint="eastAsia" w:ascii="仿宋" w:hAnsi="仿宋" w:eastAsia="仿宋" w:cs="仿宋"/>
                <w:sz w:val="28"/>
                <w:szCs w:val="28"/>
              </w:rPr>
            </w:pPr>
            <w:r>
              <w:rPr>
                <w:rFonts w:hint="eastAsia" w:ascii="仿宋" w:hAnsi="仿宋" w:eastAsia="仿宋" w:cs="仿宋"/>
                <w:i w:val="0"/>
                <w:iCs w:val="0"/>
                <w:caps w:val="0"/>
                <w:color w:val="000000"/>
                <w:spacing w:val="0"/>
                <w:kern w:val="0"/>
                <w:sz w:val="28"/>
                <w:szCs w:val="28"/>
                <w:highlight w:val="none"/>
                <w:lang w:val="en-US" w:eastAsia="zh-CN" w:bidi="ar"/>
              </w:rPr>
              <w:t>本项目前后端开发技术栈包括但不限于Spring、SpringBoot、Mybatis、Vue等，数据库开发技术栈包括但不限于Oracl、Opengauss、GaussDB数据库、达梦数据库等，云原生包括但不限于K8S等。</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851" w:type="dxa"/>
            <w:vAlign w:val="center"/>
          </w:tcPr>
          <w:p>
            <w:pPr>
              <w:pStyle w:val="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tLeast"/>
              <w:ind w:left="0" w:right="0" w:firstLine="64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1.3人员资质要求</w:t>
            </w:r>
          </w:p>
          <w:p>
            <w:pPr>
              <w:pStyle w:val="2"/>
              <w:keepNext w:val="0"/>
              <w:keepLines w:val="0"/>
              <w:pageBreakBefore w:val="0"/>
              <w:kinsoku/>
              <w:wordWrap/>
              <w:overflowPunct/>
              <w:topLinePunct w:val="0"/>
              <w:bidi w:val="0"/>
              <w:adjustRightInd w:val="0"/>
              <w:snapToGrid w:val="0"/>
              <w:spacing w:line="240" w:lineRule="atLeast"/>
              <w:ind w:left="0" w:leftChars="0" w:firstLine="560" w:firstLineChars="200"/>
              <w:textAlignment w:val="auto"/>
              <w:rPr>
                <w:rFonts w:hint="default"/>
                <w:lang w:val="en-US" w:eastAsia="zh-CN"/>
              </w:rPr>
            </w:pPr>
            <w:r>
              <w:rPr>
                <w:rFonts w:hint="eastAsia" w:ascii="仿宋" w:hAnsi="仿宋" w:eastAsia="仿宋" w:cs="仿宋"/>
                <w:i w:val="0"/>
                <w:iCs w:val="0"/>
                <w:caps w:val="0"/>
                <w:color w:val="000000"/>
                <w:spacing w:val="0"/>
                <w:kern w:val="0"/>
                <w:sz w:val="28"/>
                <w:szCs w:val="28"/>
                <w:highlight w:val="none"/>
                <w:lang w:val="en-US" w:eastAsia="zh-CN" w:bidi="ar"/>
              </w:rPr>
              <w:t>本项目为总包项目，项目经理需具备同类项目经验，投入人员需本科及以上学历，从事该类似项目至少一年以上工作经验，人员至少入职公司两年以上，工作地昆明，驻场完成测试等工作。</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851" w:type="dxa"/>
            <w:vAlign w:val="center"/>
          </w:tcPr>
          <w:p>
            <w:pPr>
              <w:pStyle w:val="2"/>
              <w:keepNext w:val="0"/>
              <w:keepLines w:val="0"/>
              <w:pageBreakBefore w:val="0"/>
              <w:widowControl w:val="0"/>
              <w:kinsoku/>
              <w:wordWrap/>
              <w:overflowPunct/>
              <w:topLinePunct w:val="0"/>
              <w:bidi w:val="0"/>
              <w:snapToGrid w:val="0"/>
              <w:spacing w:line="240" w:lineRule="atLeast"/>
              <w:ind w:left="0" w:leftChars="0" w:firstLine="562" w:firstLineChars="200"/>
              <w:textAlignment w:val="auto"/>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1.4服务要求</w:t>
            </w:r>
          </w:p>
          <w:p>
            <w:pPr>
              <w:pStyle w:val="4"/>
              <w:keepNext w:val="0"/>
              <w:keepLines w:val="0"/>
              <w:pageBreakBefore w:val="0"/>
              <w:widowControl w:val="0"/>
              <w:kinsoku/>
              <w:wordWrap/>
              <w:overflowPunct/>
              <w:topLinePunct w:val="0"/>
              <w:bidi w:val="0"/>
              <w:snapToGrid w:val="0"/>
              <w:spacing w:line="240" w:lineRule="atLeast"/>
              <w:textAlignment w:val="auto"/>
              <w:rPr>
                <w:rFonts w:hint="default"/>
                <w:lang w:val="en-US" w:eastAsia="zh-CN"/>
              </w:rPr>
            </w:pPr>
            <w:r>
              <w:rPr>
                <w:rFonts w:hint="eastAsia" w:ascii="仿宋" w:hAnsi="仿宋" w:eastAsia="仿宋" w:cs="仿宋"/>
                <w:kern w:val="2"/>
                <w:sz w:val="28"/>
                <w:szCs w:val="28"/>
                <w:lang w:val="en-US" w:eastAsia="zh-CN" w:bidi="ar-SA"/>
              </w:rPr>
              <w:t>项目实施地点在昆明，供应商需自行承担人员差旅费用；服务期间服从甲方人员及项目管理制度和项目经理安排，配合完成包括且不限于行内该项目测试部署及系统关联方其他技术性支持工作。</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563"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1.</w:t>
            </w:r>
            <w:r>
              <w:rPr>
                <w:rFonts w:hint="eastAsia" w:ascii="仿宋" w:hAnsi="仿宋" w:eastAsia="仿宋" w:cs="仿宋"/>
                <w:b/>
                <w:bCs/>
                <w:sz w:val="28"/>
                <w:szCs w:val="28"/>
                <w:lang w:val="en-US" w:eastAsia="zh-CN"/>
              </w:rPr>
              <w:t>5供应商资质要求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85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5</w:t>
            </w:r>
            <w:r>
              <w:rPr>
                <w:rFonts w:hint="eastAsia" w:ascii="仿宋" w:hAnsi="仿宋" w:eastAsia="仿宋" w:cs="仿宋"/>
                <w:sz w:val="28"/>
                <w:szCs w:val="28"/>
              </w:rPr>
              <w:t>.1</w:t>
            </w:r>
            <w:r>
              <w:rPr>
                <w:rFonts w:hint="eastAsia" w:ascii="仿宋" w:hAnsi="仿宋" w:eastAsia="仿宋" w:cs="仿宋"/>
                <w:i w:val="0"/>
                <w:iCs w:val="0"/>
                <w:caps w:val="0"/>
                <w:color w:val="000000"/>
                <w:spacing w:val="0"/>
                <w:kern w:val="0"/>
                <w:sz w:val="28"/>
                <w:szCs w:val="28"/>
                <w:highlight w:val="none"/>
                <w:lang w:val="en-US" w:eastAsia="zh-CN" w:bidi="ar"/>
              </w:rPr>
              <w:t>企业成立三年以上，近三年财务稳健，可稳定提供服务</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85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1.5.2</w:t>
            </w:r>
            <w:r>
              <w:rPr>
                <w:rFonts w:hint="eastAsia" w:ascii="仿宋" w:hAnsi="仿宋" w:eastAsia="仿宋" w:cs="仿宋"/>
                <w:i w:val="0"/>
                <w:iCs w:val="0"/>
                <w:caps w:val="0"/>
                <w:color w:val="000000"/>
                <w:spacing w:val="0"/>
                <w:kern w:val="0"/>
                <w:sz w:val="28"/>
                <w:szCs w:val="28"/>
                <w:highlight w:val="none"/>
                <w:lang w:val="en-US" w:eastAsia="zh-CN" w:bidi="ar"/>
              </w:rPr>
              <w:t>供应商须具备为云南省代理国库支付业务电子化系统、电子凭证库系统、电子签章系统的代理银行提供长期运维服务的经验；须熟悉云南省国库集中支付电子化业务规范、接口标准、国密算法要求，能够完成代理银行端上述系统日常运维、故障处置、版本适配、联调测试、应急保障等服务工作。</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85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560" w:firstLineChars="200"/>
              <w:textAlignment w:val="auto"/>
              <w:rPr>
                <w:rFonts w:hint="eastAsia"/>
              </w:rPr>
            </w:pPr>
            <w:r>
              <w:rPr>
                <w:rFonts w:hint="eastAsia" w:ascii="仿宋" w:hAnsi="仿宋" w:eastAsia="仿宋" w:cs="仿宋"/>
                <w:sz w:val="28"/>
                <w:szCs w:val="28"/>
              </w:rPr>
              <w:t>1.</w:t>
            </w:r>
            <w:r>
              <w:rPr>
                <w:rFonts w:hint="eastAsia" w:ascii="仿宋" w:hAnsi="仿宋" w:eastAsia="仿宋" w:cs="仿宋"/>
                <w:sz w:val="28"/>
                <w:szCs w:val="28"/>
                <w:lang w:val="en-US" w:eastAsia="zh-CN"/>
              </w:rPr>
              <w:t>5</w:t>
            </w:r>
            <w:r>
              <w:rPr>
                <w:rFonts w:hint="eastAsia" w:ascii="仿宋" w:hAnsi="仿宋" w:eastAsia="仿宋" w:cs="仿宋"/>
                <w:sz w:val="28"/>
                <w:szCs w:val="28"/>
              </w:rPr>
              <w:t>.</w:t>
            </w:r>
            <w:r>
              <w:rPr>
                <w:rFonts w:hint="eastAsia" w:ascii="仿宋" w:hAnsi="仿宋" w:eastAsia="仿宋" w:cs="仿宋"/>
                <w:sz w:val="28"/>
                <w:szCs w:val="28"/>
                <w:lang w:val="en-US" w:eastAsia="zh-CN"/>
              </w:rPr>
              <w:t>3供应商案例要求：</w:t>
            </w:r>
            <w:r>
              <w:rPr>
                <w:rFonts w:hint="eastAsia" w:ascii="仿宋" w:hAnsi="仿宋" w:eastAsia="仿宋" w:cs="仿宋"/>
                <w:sz w:val="28"/>
                <w:szCs w:val="28"/>
              </w:rPr>
              <w:t>2023年1月1日至今，与21家国内系统重要性银行（工行、农行、中行、建行、交行、邮储、中信、光大、招商、华夏、浦发、兴业、广发、民生、平安、北京、南京、上海、宁波、江苏、浙商）总部级或科技子公司，合作开展与本项目相似的电子凭证库类软件开发或软件产品项目的成功案例（须提供相关案例合同证明材料,并标示相关内容，以合同签订日期为准）。</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563"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0" w:firstLineChars="0"/>
              <w:textAlignment w:val="auto"/>
              <w:rPr>
                <w:rFonts w:hint="eastAsia" w:ascii="仿宋" w:hAnsi="仿宋" w:eastAsia="仿宋" w:cs="仿宋"/>
                <w:sz w:val="28"/>
                <w:szCs w:val="28"/>
              </w:rPr>
            </w:pPr>
            <w:r>
              <w:rPr>
                <w:rFonts w:hint="eastAsia" w:ascii="仿宋" w:hAnsi="仿宋" w:eastAsia="仿宋" w:cs="仿宋"/>
                <w:b/>
                <w:bCs/>
                <w:sz w:val="28"/>
                <w:szCs w:val="28"/>
              </w:rPr>
              <w:t>二、报名要求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85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2.1</w:t>
            </w:r>
            <w:r>
              <w:rPr>
                <w:rFonts w:hint="eastAsia" w:ascii="仿宋" w:hAnsi="仿宋" w:eastAsia="仿宋" w:cs="仿宋"/>
                <w:i w:val="0"/>
                <w:iCs w:val="0"/>
                <w:caps w:val="0"/>
                <w:color w:val="000000"/>
                <w:spacing w:val="0"/>
                <w:sz w:val="28"/>
                <w:szCs w:val="28"/>
                <w:highlight w:val="none"/>
              </w:rPr>
              <w:t>依法成立，为存续、在营、开业、在册、登记成立等正常企业状态。</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85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2.2</w:t>
            </w:r>
            <w:r>
              <w:rPr>
                <w:rFonts w:hint="eastAsia" w:ascii="仿宋" w:hAnsi="仿宋" w:eastAsia="仿宋" w:cs="仿宋"/>
                <w:i w:val="0"/>
                <w:iCs w:val="0"/>
                <w:caps w:val="0"/>
                <w:color w:val="000000"/>
                <w:spacing w:val="0"/>
                <w:sz w:val="28"/>
                <w:szCs w:val="28"/>
                <w:highlight w:val="none"/>
              </w:rPr>
              <w:t>在兴业银行开立对公账户，若中标本项目，则通过兴业银行对公账户结算该项目相关费用。</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85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2.3</w:t>
            </w:r>
            <w:r>
              <w:rPr>
                <w:rFonts w:hint="eastAsia" w:ascii="仿宋" w:hAnsi="仿宋" w:eastAsia="仿宋" w:cs="仿宋"/>
                <w:i w:val="0"/>
                <w:iCs w:val="0"/>
                <w:caps w:val="0"/>
                <w:color w:val="000000"/>
                <w:spacing w:val="0"/>
                <w:kern w:val="0"/>
                <w:sz w:val="28"/>
                <w:szCs w:val="28"/>
                <w:highlight w:val="none"/>
                <w:lang w:val="en-US" w:eastAsia="zh-CN" w:bidi="ar"/>
              </w:rPr>
              <w:t>充分理解我行服务需求并能够根据需求提供相应的服务。</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85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2.4</w:t>
            </w:r>
            <w:r>
              <w:rPr>
                <w:rFonts w:hint="eastAsia" w:ascii="仿宋" w:hAnsi="仿宋" w:eastAsia="仿宋" w:cs="仿宋"/>
                <w:i w:val="0"/>
                <w:iCs w:val="0"/>
                <w:caps w:val="0"/>
                <w:color w:val="000000"/>
                <w:spacing w:val="0"/>
                <w:kern w:val="0"/>
                <w:sz w:val="28"/>
                <w:szCs w:val="28"/>
                <w:highlight w:val="none"/>
                <w:lang w:val="en-US" w:eastAsia="zh-CN" w:bidi="ar"/>
              </w:rPr>
              <w:t>具有良好的商业信誉</w:t>
            </w:r>
            <w:r>
              <w:rPr>
                <w:rFonts w:hint="eastAsia" w:ascii="仿宋" w:hAnsi="仿宋" w:eastAsia="仿宋" w:cs="仿宋"/>
                <w:i w:val="0"/>
                <w:iCs w:val="0"/>
                <w:caps w:val="0"/>
                <w:color w:val="000000"/>
                <w:spacing w:val="0"/>
                <w:kern w:val="0"/>
                <w:sz w:val="28"/>
                <w:szCs w:val="28"/>
                <w:highlight w:val="none"/>
                <w:shd w:val="clear" w:fill="FFFF00"/>
                <w:lang w:val="en-US" w:eastAsia="zh-CN" w:bidi="ar"/>
              </w:rPr>
              <w:t>且经营正常</w:t>
            </w:r>
            <w:r>
              <w:rPr>
                <w:rFonts w:hint="eastAsia" w:ascii="仿宋" w:hAnsi="仿宋" w:eastAsia="仿宋" w:cs="仿宋"/>
                <w:i w:val="0"/>
                <w:iCs w:val="0"/>
                <w:caps w:val="0"/>
                <w:color w:val="000000"/>
                <w:spacing w:val="0"/>
                <w:kern w:val="0"/>
                <w:sz w:val="28"/>
                <w:szCs w:val="28"/>
                <w:highlight w:val="none"/>
                <w:lang w:val="en-US" w:eastAsia="zh-CN" w:bidi="ar"/>
              </w:rPr>
              <w:t>。</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85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2.5</w:t>
            </w:r>
            <w:r>
              <w:rPr>
                <w:rFonts w:hint="eastAsia" w:ascii="仿宋" w:hAnsi="仿宋" w:eastAsia="仿宋" w:cs="仿宋"/>
                <w:i w:val="0"/>
                <w:iCs w:val="0"/>
                <w:caps w:val="0"/>
                <w:color w:val="000000"/>
                <w:spacing w:val="0"/>
                <w:sz w:val="28"/>
                <w:szCs w:val="28"/>
                <w:highlight w:val="none"/>
              </w:rPr>
              <w:t>依法缴纳税收和社会保障资金。</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85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2.6</w:t>
            </w:r>
            <w:r>
              <w:rPr>
                <w:rFonts w:hint="eastAsia" w:ascii="仿宋" w:hAnsi="仿宋" w:eastAsia="仿宋" w:cs="仿宋"/>
                <w:i w:val="0"/>
                <w:iCs w:val="0"/>
                <w:caps w:val="0"/>
                <w:color w:val="000000"/>
                <w:spacing w:val="0"/>
                <w:kern w:val="0"/>
                <w:sz w:val="28"/>
                <w:szCs w:val="28"/>
                <w:highlight w:val="none"/>
                <w:lang w:val="en-US" w:eastAsia="zh-CN" w:bidi="ar"/>
              </w:rPr>
              <w:t>未被“信用中国”网列入“重大税收违法案件当事人名单”、未被“中国执行信息公开网”列入“失信被执行人名单”、未被“中国政府采购网”列入“政府采购严重违法失信行为信息记录名单”、未被“国家企业信用信息公示系统”列入网站“严重违法失信企业名单”，不在兴业银行供应商禁用/退出期内。</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85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2.7</w:t>
            </w:r>
            <w:r>
              <w:rPr>
                <w:rFonts w:hint="eastAsia" w:ascii="仿宋" w:hAnsi="仿宋" w:eastAsia="仿宋" w:cs="仿宋"/>
                <w:i w:val="0"/>
                <w:iCs w:val="0"/>
                <w:caps w:val="0"/>
                <w:color w:val="000000"/>
                <w:spacing w:val="0"/>
                <w:kern w:val="0"/>
                <w:sz w:val="28"/>
                <w:szCs w:val="28"/>
                <w:highlight w:val="none"/>
                <w:lang w:val="en-US" w:eastAsia="zh-CN" w:bidi="ar"/>
              </w:rPr>
              <w:t>经营范围经国家行政管理部门依法批准，同时获得从事行业有效执业证明、行政许可、专业资质等证照。</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5851"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ind w:left="0" w:leftChars="0"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2.8</w:t>
            </w:r>
            <w:r>
              <w:rPr>
                <w:rFonts w:hint="eastAsia" w:ascii="仿宋" w:hAnsi="仿宋" w:eastAsia="仿宋" w:cs="仿宋"/>
                <w:i w:val="0"/>
                <w:iCs w:val="0"/>
                <w:caps w:val="0"/>
                <w:color w:val="000000"/>
                <w:spacing w:val="0"/>
                <w:kern w:val="0"/>
                <w:sz w:val="28"/>
                <w:szCs w:val="28"/>
                <w:highlight w:val="none"/>
                <w:lang w:val="en-US" w:eastAsia="zh-CN" w:bidi="ar"/>
              </w:rPr>
              <w:t>两年内目标服务领域未出现严重安全事件。</w:t>
            </w:r>
          </w:p>
        </w:tc>
        <w:tc>
          <w:tcPr>
            <w:tcW w:w="1575"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c>
          <w:tcPr>
            <w:tcW w:w="213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仿宋" w:hAnsi="仿宋" w:eastAsia="仿宋" w:cs="仿宋"/>
                <w:sz w:val="28"/>
                <w:szCs w:val="28"/>
              </w:rPr>
            </w:pPr>
          </w:p>
        </w:tc>
      </w:tr>
    </w:tbl>
    <w:p>
      <w:pPr>
        <w:ind w:firstLine="560" w:firstLineChars="200"/>
        <w:rPr>
          <w:rFonts w:hint="eastAsia" w:ascii="仿宋" w:hAnsi="仿宋" w:eastAsia="仿宋" w:cs="仿宋"/>
          <w:b/>
          <w:bCs/>
          <w:sz w:val="28"/>
          <w:szCs w:val="28"/>
        </w:rPr>
      </w:pPr>
      <w:r>
        <w:rPr>
          <w:rFonts w:hint="eastAsia" w:ascii="仿宋" w:hAnsi="仿宋" w:eastAsia="仿宋" w:cs="仿宋"/>
          <w:sz w:val="28"/>
          <w:szCs w:val="28"/>
        </w:rPr>
        <w:t>供应商须对报名信息和资料的真实性负责。如提供虚假材料，将取消报名资格并列入我行供应商黑名单。</w:t>
      </w:r>
    </w:p>
    <w:p>
      <w:pPr>
        <w:outlineLvl w:val="0"/>
        <w:rPr>
          <w:rFonts w:hint="eastAsia" w:ascii="仿宋" w:hAnsi="仿宋" w:eastAsia="仿宋" w:cs="仿宋"/>
          <w:b/>
          <w:bCs/>
          <w:sz w:val="28"/>
          <w:szCs w:val="28"/>
        </w:rPr>
      </w:pPr>
    </w:p>
    <w:p>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第二部分 供应商基础信息部分</w:t>
      </w:r>
    </w:p>
    <w:tbl>
      <w:tblPr>
        <w:tblStyle w:val="10"/>
        <w:tblW w:w="9492"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1"/>
        <w:gridCol w:w="64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基本信息项</w:t>
            </w:r>
          </w:p>
        </w:tc>
        <w:tc>
          <w:tcPr>
            <w:tcW w:w="6471" w:type="dxa"/>
            <w:vAlign w:val="center"/>
          </w:tcPr>
          <w:p>
            <w:pPr>
              <w:spacing w:line="440" w:lineRule="exact"/>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基本说明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注册资金及实缴资本（万</w:t>
            </w:r>
            <w:r>
              <w:rPr>
                <w:rFonts w:hint="default" w:ascii="仿宋" w:hAnsi="仿宋" w:eastAsia="仿宋" w:cs="仿宋"/>
                <w:sz w:val="28"/>
                <w:szCs w:val="28"/>
              </w:rPr>
              <w:t>元</w:t>
            </w:r>
            <w:r>
              <w:rPr>
                <w:rFonts w:hint="eastAsia" w:ascii="仿宋" w:hAnsi="仿宋" w:eastAsia="仿宋" w:cs="仿宋"/>
                <w:sz w:val="28"/>
                <w:szCs w:val="28"/>
              </w:rPr>
              <w:t>）</w:t>
            </w:r>
          </w:p>
        </w:tc>
        <w:tc>
          <w:tcPr>
            <w:tcW w:w="6471" w:type="dxa"/>
          </w:tcPr>
          <w:p>
            <w:pPr>
              <w:spacing w:line="440" w:lineRule="exact"/>
              <w:ind w:left="0" w:leftChars="0" w:firstLine="0" w:firstLineChars="0"/>
              <w:rPr>
                <w:rFonts w:hint="default" w:ascii="仿宋" w:hAnsi="仿宋" w:eastAsia="仿宋" w:cs="仿宋"/>
                <w:sz w:val="28"/>
                <w:szCs w:val="28"/>
              </w:rPr>
            </w:pPr>
            <w:r>
              <w:rPr>
                <w:rFonts w:hint="eastAsia" w:ascii="仿宋" w:hAnsi="仿宋" w:eastAsia="仿宋" w:cs="仿宋"/>
                <w:sz w:val="28"/>
                <w:szCs w:val="28"/>
              </w:rPr>
              <w:t>注册资金：    万</w:t>
            </w:r>
            <w:r>
              <w:rPr>
                <w:rFonts w:hint="default" w:ascii="仿宋" w:hAnsi="仿宋" w:eastAsia="仿宋" w:cs="仿宋"/>
                <w:sz w:val="28"/>
                <w:szCs w:val="28"/>
              </w:rPr>
              <w:t>元</w:t>
            </w:r>
          </w:p>
          <w:p>
            <w:pPr>
              <w:spacing w:line="440" w:lineRule="exact"/>
              <w:ind w:left="0" w:leftChars="0" w:firstLine="0" w:firstLineChars="0"/>
              <w:rPr>
                <w:rFonts w:hint="default" w:ascii="仿宋" w:hAnsi="仿宋" w:eastAsia="仿宋" w:cs="仿宋"/>
                <w:sz w:val="28"/>
                <w:szCs w:val="28"/>
              </w:rPr>
            </w:pPr>
            <w:r>
              <w:rPr>
                <w:rFonts w:hint="eastAsia" w:ascii="仿宋" w:hAnsi="仿宋" w:eastAsia="仿宋" w:cs="仿宋"/>
                <w:sz w:val="28"/>
                <w:szCs w:val="28"/>
              </w:rPr>
              <w:t>实缴资金：    万</w:t>
            </w:r>
            <w:r>
              <w:rPr>
                <w:rFonts w:hint="default" w:ascii="仿宋" w:hAnsi="仿宋" w:eastAsia="仿宋" w:cs="仿宋"/>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上一年度是否盈利</w:t>
            </w:r>
          </w:p>
        </w:tc>
        <w:tc>
          <w:tcPr>
            <w:tcW w:w="647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公司注册所在地</w:t>
            </w:r>
          </w:p>
        </w:tc>
        <w:tc>
          <w:tcPr>
            <w:tcW w:w="6471" w:type="dxa"/>
            <w:vAlign w:val="center"/>
          </w:tcPr>
          <w:p>
            <w:pPr>
              <w:spacing w:line="440" w:lineRule="exact"/>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是否可以在兴业银行开立对公账户，并承诺若中标本项目，则通过兴业银行对公账户结算该项目相关费用。</w:t>
            </w:r>
            <w:r>
              <w:rPr>
                <w:rFonts w:hint="eastAsia" w:ascii="仿宋" w:hAnsi="仿宋" w:eastAsia="仿宋" w:cs="仿宋"/>
                <w:b/>
                <w:color w:val="FF0000"/>
                <w:sz w:val="28"/>
                <w:szCs w:val="28"/>
              </w:rPr>
              <w:t>（如无法在本行开户则将无法参与本行项目招标工作）</w:t>
            </w:r>
          </w:p>
        </w:tc>
        <w:tc>
          <w:tcPr>
            <w:tcW w:w="647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是否已在兴业银行开立对公账户：</w:t>
            </w:r>
            <w:r>
              <w:rPr>
                <w:rFonts w:hint="eastAsia" w:ascii="仿宋" w:hAnsi="仿宋" w:eastAsia="仿宋" w:cs="仿宋"/>
                <w:b/>
                <w:sz w:val="28"/>
                <w:szCs w:val="28"/>
              </w:rPr>
              <w:t>是/否</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若未开户，是否可以承诺若中标则在兴业银行开立对公账户并通过该账户结算该项目相关费用：</w:t>
            </w:r>
            <w:r>
              <w:rPr>
                <w:rFonts w:hint="eastAsia" w:ascii="仿宋" w:hAnsi="仿宋" w:eastAsia="仿宋" w:cs="仿宋"/>
                <w:b/>
                <w:sz w:val="28"/>
                <w:szCs w:val="28"/>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公司法人</w:t>
            </w:r>
          </w:p>
        </w:tc>
        <w:tc>
          <w:tcPr>
            <w:tcW w:w="6471" w:type="dxa"/>
            <w:vAlign w:val="center"/>
          </w:tcPr>
          <w:p>
            <w:pPr>
              <w:spacing w:line="440" w:lineRule="exact"/>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企业性质</w:t>
            </w:r>
          </w:p>
        </w:tc>
        <w:tc>
          <w:tcPr>
            <w:tcW w:w="647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i w:val="0"/>
                <w:iCs w:val="0"/>
                <w:sz w:val="28"/>
                <w:szCs w:val="28"/>
              </w:rPr>
              <w:t>国有企业/集体所有制/私营企业/中外合资企业/股份制企业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color w:val="000000" w:themeColor="text1"/>
                <w:sz w:val="28"/>
                <w:szCs w:val="28"/>
                <w:lang w:val="en-US"/>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近三年年度关键财务指标</w:t>
            </w:r>
          </w:p>
        </w:tc>
        <w:tc>
          <w:tcPr>
            <w:tcW w:w="6471" w:type="dxa"/>
          </w:tcPr>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一、资产总额：</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二、营业收入：</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三、净利润等财务指标：</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Chars="0" w:right="0" w:rightChars="0"/>
              <w:jc w:val="left"/>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auto"/>
                <w:kern w:val="2"/>
                <w:sz w:val="28"/>
                <w:szCs w:val="28"/>
                <w:lang w:val="en-US" w:eastAsia="zh-CN" w:bidi="ar-SA"/>
              </w:rPr>
              <w:t>四、最近两年来自兴业银行集团贡献的营业收入是否高于公司营收70%（含）：是/否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企业资质、认证</w:t>
            </w:r>
          </w:p>
        </w:tc>
        <w:tc>
          <w:tcPr>
            <w:tcW w:w="6471" w:type="dxa"/>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一、</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分公司名单</w:t>
            </w:r>
          </w:p>
        </w:tc>
        <w:tc>
          <w:tcPr>
            <w:tcW w:w="647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一</w:t>
            </w:r>
            <w:r>
              <w:rPr>
                <w:rFonts w:hint="eastAsia" w:ascii="仿宋" w:hAnsi="仿宋" w:eastAsia="仿宋" w:cs="仿宋"/>
                <w:sz w:val="28"/>
                <w:szCs w:val="28"/>
              </w:rPr>
              <w:t>、</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lang w:val="en-US" w:eastAsia="zh-CN"/>
              </w:rPr>
              <w:t>三</w:t>
            </w:r>
            <w:r>
              <w:rPr>
                <w:rFonts w:hint="eastAsia" w:ascii="仿宋" w:hAnsi="仿宋" w:eastAsia="仿宋" w:cs="仿宋"/>
                <w:sz w:val="28"/>
                <w:szCs w:val="28"/>
              </w:rPr>
              <w:t>、</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仅列分公司名单，无需列子公司名单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公司员工数量</w:t>
            </w:r>
          </w:p>
        </w:tc>
        <w:tc>
          <w:tcPr>
            <w:tcW w:w="647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***人（不含子公司人数）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联系人信息</w:t>
            </w:r>
          </w:p>
        </w:tc>
        <w:tc>
          <w:tcPr>
            <w:tcW w:w="6471" w:type="dxa"/>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姓名：</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职务：</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手机：</w:t>
            </w:r>
          </w:p>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邮箱地址：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经营范围</w:t>
            </w:r>
          </w:p>
        </w:tc>
        <w:tc>
          <w:tcPr>
            <w:tcW w:w="6471" w:type="dxa"/>
          </w:tcPr>
          <w:p>
            <w:pPr>
              <w:spacing w:line="440" w:lineRule="exact"/>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重大不良经营记录</w:t>
            </w:r>
          </w:p>
        </w:tc>
        <w:tc>
          <w:tcPr>
            <w:tcW w:w="6471" w:type="dxa"/>
          </w:tcPr>
          <w:p>
            <w:pPr>
              <w:spacing w:line="440" w:lineRule="exact"/>
              <w:ind w:left="0" w:leftChars="0" w:firstLine="0" w:firstLineChars="0"/>
              <w:rPr>
                <w:rFonts w:hint="eastAsia" w:ascii="仿宋" w:hAnsi="仿宋" w:eastAsia="仿宋" w:cs="仿宋"/>
                <w:color w:val="000000" w:themeColor="text1"/>
                <w:sz w:val="28"/>
                <w:szCs w:val="28"/>
                <w:lang w:val="en-GB"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简要陈述并</w:t>
            </w:r>
            <w:r>
              <w:rPr>
                <w:rFonts w:hint="eastAsia" w:ascii="仿宋" w:hAnsi="仿宋" w:eastAsia="仿宋" w:cs="仿宋"/>
                <w:color w:val="000000" w:themeColor="text1"/>
                <w:sz w:val="28"/>
                <w:szCs w:val="28"/>
                <w:lang w:val="en-GB" w:eastAsia="zh-CN"/>
                <w14:textFill>
                  <w14:solidFill>
                    <w14:schemeClr w14:val="tx1"/>
                  </w14:solidFill>
                </w14:textFill>
              </w:rPr>
              <w:t>说明公司最近三年在政府采购或金融行业采购过程中是否受到处罚。</w:t>
            </w:r>
          </w:p>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提供</w:t>
            </w:r>
            <w:r>
              <w:rPr>
                <w:rFonts w:hint="eastAsia" w:ascii="仿宋" w:hAnsi="仿宋" w:eastAsia="仿宋" w:cs="仿宋"/>
                <w:color w:val="000000" w:themeColor="text1"/>
                <w:sz w:val="28"/>
                <w:szCs w:val="28"/>
                <w:lang w:val="en-GB" w:eastAsia="zh-CN"/>
                <w14:textFill>
                  <w14:solidFill>
                    <w14:schemeClr w14:val="tx1"/>
                  </w14:solidFill>
                </w14:textFill>
              </w:rPr>
              <w:t>“信用中国”“中国执行信息公开网”“中国政府采购网”“国家企业信用信息公示系统”等平台</w:t>
            </w:r>
            <w:r>
              <w:rPr>
                <w:rFonts w:hint="eastAsia" w:ascii="仿宋" w:hAnsi="仿宋" w:eastAsia="仿宋" w:cs="仿宋"/>
                <w:color w:val="000000" w:themeColor="text1"/>
                <w:sz w:val="28"/>
                <w:szCs w:val="28"/>
                <w:lang w:val="en-US" w:eastAsia="zh-CN"/>
                <w14:textFill>
                  <w14:solidFill>
                    <w14:schemeClr w14:val="tx1"/>
                  </w14:solidFill>
                </w14:textFill>
              </w:rPr>
              <w:t>查询</w:t>
            </w:r>
            <w:r>
              <w:rPr>
                <w:rFonts w:hint="eastAsia" w:ascii="仿宋" w:hAnsi="仿宋" w:eastAsia="仿宋" w:cs="仿宋"/>
                <w:color w:val="000000" w:themeColor="text1"/>
                <w:sz w:val="28"/>
                <w:szCs w:val="28"/>
                <w:lang w:val="en-GB" w:eastAsia="zh-CN"/>
                <w14:textFill>
                  <w14:solidFill>
                    <w14:schemeClr w14:val="tx1"/>
                  </w14:solidFill>
                </w14:textFill>
              </w:rPr>
              <w:t>违法失信、行政处罚、法律诉讼等负面信息</w:t>
            </w:r>
            <w:r>
              <w:rPr>
                <w:rFonts w:hint="eastAsia" w:ascii="仿宋" w:hAnsi="仿宋" w:eastAsia="仿宋" w:cs="仿宋"/>
                <w:color w:val="000000" w:themeColor="text1"/>
                <w:sz w:val="28"/>
                <w:szCs w:val="28"/>
                <w:lang w:val="en-US" w:eastAsia="zh-CN"/>
                <w14:textFill>
                  <w14:solidFill>
                    <w14:schemeClr w14:val="tx1"/>
                  </w14:solidFill>
                </w14:textFill>
              </w:rPr>
              <w:t>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信息安全</w:t>
            </w:r>
          </w:p>
          <w:p>
            <w:pPr>
              <w:spacing w:line="440" w:lineRule="exact"/>
              <w:rPr>
                <w:rFonts w:hint="eastAsia" w:ascii="仿宋" w:hAnsi="仿宋" w:eastAsia="仿宋" w:cs="仿宋"/>
                <w:color w:val="000000" w:themeColor="text1"/>
                <w:sz w:val="28"/>
                <w:szCs w:val="28"/>
                <w:lang w:val="en-US" w:eastAsia="zh-CN"/>
                <w14:textFill>
                  <w14:solidFill>
                    <w14:schemeClr w14:val="tx1"/>
                  </w14:solidFill>
                </w14:textFill>
              </w:rPr>
            </w:pPr>
          </w:p>
        </w:tc>
        <w:tc>
          <w:tcPr>
            <w:tcW w:w="6471" w:type="dxa"/>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简要说明管理制度和技术措施如何保障本行信息或数据安全（提供相关制度、技术措施扫描）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021" w:type="dxa"/>
            <w:vAlign w:val="center"/>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业务连续性</w:t>
            </w:r>
          </w:p>
          <w:p>
            <w:pPr>
              <w:spacing w:line="440" w:lineRule="exact"/>
              <w:rPr>
                <w:rFonts w:hint="eastAsia" w:ascii="仿宋" w:hAnsi="仿宋" w:eastAsia="仿宋" w:cs="仿宋"/>
                <w:color w:val="000000" w:themeColor="text1"/>
                <w:sz w:val="28"/>
                <w:szCs w:val="28"/>
                <w:lang w:val="en-US" w:eastAsia="zh-CN"/>
                <w14:textFill>
                  <w14:solidFill>
                    <w14:schemeClr w14:val="tx1"/>
                  </w14:solidFill>
                </w14:textFill>
              </w:rPr>
            </w:pPr>
          </w:p>
        </w:tc>
        <w:tc>
          <w:tcPr>
            <w:tcW w:w="6471" w:type="dxa"/>
          </w:tcPr>
          <w:p>
            <w:pPr>
              <w:spacing w:line="440" w:lineRule="exact"/>
              <w:ind w:left="0" w:leftChars="0" w:firstLine="0" w:firstLineChars="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简要说明业务连续性保障机制、服务响应方案（包含响应安排与服务团队介绍）（提供相关制度、服务响应方案扫描件）</w:t>
            </w:r>
          </w:p>
        </w:tc>
      </w:tr>
    </w:tbl>
    <w:p>
      <w:pPr>
        <w:keepNext w:val="0"/>
        <w:keepLines w:val="0"/>
        <w:pageBreakBefore w:val="0"/>
        <w:widowControl/>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请提供：</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一、</w:t>
      </w:r>
      <w:r>
        <w:rPr>
          <w:rFonts w:hint="eastAsia" w:ascii="仿宋" w:hAnsi="仿宋" w:eastAsia="仿宋" w:cs="仿宋"/>
          <w:color w:val="000000" w:themeColor="text1"/>
          <w:sz w:val="28"/>
          <w:szCs w:val="28"/>
          <w14:textFill>
            <w14:solidFill>
              <w14:schemeClr w14:val="tx1"/>
            </w14:solidFill>
          </w14:textFill>
        </w:rPr>
        <w:t>公司章程（如有）</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二、</w:t>
      </w:r>
      <w:r>
        <w:rPr>
          <w:rFonts w:hint="eastAsia" w:ascii="仿宋" w:hAnsi="仿宋" w:eastAsia="仿宋" w:cs="仿宋"/>
          <w:color w:val="000000" w:themeColor="text1"/>
          <w:sz w:val="28"/>
          <w:szCs w:val="28"/>
          <w14:textFill>
            <w14:solidFill>
              <w14:schemeClr w14:val="tx1"/>
            </w14:solidFill>
          </w14:textFill>
        </w:rPr>
        <w:t>营业执照（事业单位法人证书或类似执业许可证）</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三、</w:t>
      </w:r>
      <w:r>
        <w:rPr>
          <w:rFonts w:hint="eastAsia" w:ascii="仿宋" w:hAnsi="仿宋" w:eastAsia="仿宋" w:cs="仿宋"/>
          <w:color w:val="000000" w:themeColor="text1"/>
          <w:sz w:val="28"/>
          <w:szCs w:val="28"/>
          <w14:textFill>
            <w14:solidFill>
              <w14:schemeClr w14:val="tx1"/>
            </w14:solidFill>
          </w14:textFill>
        </w:rPr>
        <w:t>公司法人身份证的原件扫描件</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四、近三年经公司内部审核流程审定的</w:t>
      </w:r>
      <w:r>
        <w:rPr>
          <w:rFonts w:hint="eastAsia" w:ascii="仿宋" w:hAnsi="仿宋" w:eastAsia="仿宋" w:cs="仿宋"/>
          <w:color w:val="000000" w:themeColor="text1"/>
          <w:sz w:val="28"/>
          <w:szCs w:val="28"/>
          <w:highlight w:val="none"/>
          <w14:textFill>
            <w14:solidFill>
              <w14:schemeClr w14:val="tx1"/>
            </w14:solidFill>
          </w14:textFill>
        </w:rPr>
        <w:t>财务会计报表（财务会计报表需至少包含资产负债表、现金流量表和利润表）</w:t>
      </w:r>
      <w:r>
        <w:rPr>
          <w:rFonts w:hint="eastAsia" w:ascii="仿宋" w:hAnsi="仿宋" w:eastAsia="仿宋" w:cs="仿宋"/>
          <w:color w:val="000000" w:themeColor="text1"/>
          <w:sz w:val="28"/>
          <w:szCs w:val="28"/>
          <w:highlight w:val="none"/>
          <w:lang w:val="en-US" w:eastAsia="zh-CN"/>
          <w14:textFill>
            <w14:solidFill>
              <w14:schemeClr w14:val="tx1"/>
            </w14:solidFill>
          </w14:textFill>
        </w:rPr>
        <w:t>原件扫描件</w:t>
      </w:r>
      <w:r>
        <w:rPr>
          <w:rFonts w:hint="eastAsia" w:ascii="仿宋" w:hAnsi="仿宋" w:eastAsia="仿宋" w:cs="仿宋"/>
          <w:color w:val="000000" w:themeColor="text1"/>
          <w:sz w:val="28"/>
          <w:szCs w:val="28"/>
          <w:highlight w:val="none"/>
          <w14:textFill>
            <w14:solidFill>
              <w14:schemeClr w14:val="tx1"/>
            </w14:solidFill>
          </w14:textFill>
        </w:rPr>
        <w:t>或有效的企业资信证明材料</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证明材料不全不予认可</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五、提供</w:t>
      </w:r>
      <w:r>
        <w:rPr>
          <w:rFonts w:hint="eastAsia" w:ascii="仿宋" w:hAnsi="仿宋" w:eastAsia="仿宋" w:cs="仿宋"/>
          <w:color w:val="000000" w:themeColor="text1"/>
          <w:sz w:val="28"/>
          <w:szCs w:val="28"/>
          <w:lang w:val="en-GB" w:eastAsia="zh-CN"/>
          <w14:textFill>
            <w14:solidFill>
              <w14:schemeClr w14:val="tx1"/>
            </w14:solidFill>
          </w14:textFill>
        </w:rPr>
        <w:t>“信用中国”、“中国执行信息公开网”、“中国政府采购网”、“国家企业信用信息公示系统”等平台</w:t>
      </w:r>
      <w:r>
        <w:rPr>
          <w:rFonts w:hint="eastAsia" w:ascii="仿宋" w:hAnsi="仿宋" w:eastAsia="仿宋" w:cs="仿宋"/>
          <w:color w:val="000000" w:themeColor="text1"/>
          <w:sz w:val="28"/>
          <w:szCs w:val="28"/>
          <w:lang w:val="en-US" w:eastAsia="zh-CN"/>
          <w14:textFill>
            <w14:solidFill>
              <w14:schemeClr w14:val="tx1"/>
            </w14:solidFill>
          </w14:textFill>
        </w:rPr>
        <w:t>查询截图</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六、提供信息安全管理相关制度、技术措施扫描件</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七、提供业务连续性管理相关制度、服务响应方案扫描件</w:t>
      </w:r>
    </w:p>
    <w:p>
      <w:pPr>
        <w:outlineLvl w:val="1"/>
        <w:rPr>
          <w:rFonts w:hint="eastAsia" w:ascii="仿宋" w:hAnsi="仿宋" w:eastAsia="仿宋" w:cs="仿宋"/>
          <w:bCs/>
          <w:color w:val="0000FF"/>
          <w:sz w:val="28"/>
          <w:szCs w:val="28"/>
          <w:lang w:val="en-US" w:eastAsia="zh-CN"/>
        </w:rPr>
      </w:pPr>
    </w:p>
    <w:p>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第三部分 与本项目相关的案例情况</w:t>
      </w:r>
    </w:p>
    <w:p>
      <w:pPr>
        <w:outlineLvl w:val="0"/>
        <w:rPr>
          <w:rFonts w:hint="eastAsia" w:ascii="仿宋" w:hAnsi="仿宋" w:eastAsia="仿宋" w:cs="仿宋"/>
          <w:b/>
          <w:bCs/>
          <w:sz w:val="28"/>
          <w:szCs w:val="28"/>
        </w:rPr>
      </w:pPr>
      <w:r>
        <w:rPr>
          <w:rFonts w:hint="eastAsia" w:ascii="仿宋" w:hAnsi="仿宋" w:eastAsia="仿宋" w:cs="仿宋"/>
          <w:b/>
          <w:bCs/>
          <w:sz w:val="28"/>
          <w:szCs w:val="28"/>
        </w:rPr>
        <w:t>《</w:t>
      </w:r>
      <w:r>
        <w:rPr>
          <w:rFonts w:hint="eastAsia" w:ascii="仿宋" w:hAnsi="仿宋" w:eastAsia="仿宋" w:cs="仿宋"/>
          <w:b/>
          <w:bCs/>
          <w:sz w:val="28"/>
          <w:szCs w:val="28"/>
          <w:lang w:val="en-US" w:eastAsia="zh-CN"/>
        </w:rPr>
        <w:t>国库集中支付系统信创建设和技术改造项目</w:t>
      </w:r>
      <w:r>
        <w:rPr>
          <w:rFonts w:hint="eastAsia" w:ascii="仿宋" w:hAnsi="仿宋" w:eastAsia="仿宋" w:cs="仿宋"/>
          <w:b/>
          <w:bCs/>
          <w:sz w:val="28"/>
          <w:szCs w:val="28"/>
        </w:rPr>
        <w:t>》相关案例情况：（该部分项目案例需要请需求部门修改）</w:t>
      </w:r>
    </w:p>
    <w:tbl>
      <w:tblPr>
        <w:tblStyle w:val="10"/>
        <w:tblW w:w="91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1"/>
        <w:gridCol w:w="2313"/>
        <w:gridCol w:w="2521"/>
        <w:gridCol w:w="1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vAlign w:val="center"/>
          </w:tcPr>
          <w:p>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甲方</w:t>
            </w:r>
          </w:p>
        </w:tc>
        <w:tc>
          <w:tcPr>
            <w:tcW w:w="2313" w:type="dxa"/>
            <w:vAlign w:val="center"/>
          </w:tcPr>
          <w:p>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合同名称</w:t>
            </w:r>
          </w:p>
        </w:tc>
        <w:tc>
          <w:tcPr>
            <w:tcW w:w="2521" w:type="dxa"/>
            <w:vAlign w:val="center"/>
          </w:tcPr>
          <w:p>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案例简介</w:t>
            </w:r>
          </w:p>
        </w:tc>
        <w:tc>
          <w:tcPr>
            <w:tcW w:w="1953" w:type="dxa"/>
            <w:vAlign w:val="center"/>
          </w:tcPr>
          <w:p>
            <w:pPr>
              <w:ind w:left="0" w:leftChars="0" w:firstLine="0" w:firstLineChars="0"/>
              <w:jc w:val="center"/>
              <w:rPr>
                <w:rFonts w:hint="eastAsia" w:ascii="仿宋" w:hAnsi="仿宋" w:eastAsia="仿宋" w:cs="仿宋"/>
                <w:b/>
                <w:bCs/>
                <w:sz w:val="28"/>
                <w:szCs w:val="28"/>
              </w:rPr>
            </w:pPr>
            <w:r>
              <w:rPr>
                <w:rFonts w:hint="eastAsia" w:ascii="仿宋" w:hAnsi="仿宋" w:eastAsia="仿宋" w:cs="仿宋"/>
                <w:b/>
                <w:bCs/>
                <w:sz w:val="28"/>
                <w:szCs w:val="28"/>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2331" w:type="dxa"/>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例：建设银行</w:t>
            </w:r>
            <w:r>
              <w:rPr>
                <w:rFonts w:hint="eastAsia" w:ascii="仿宋" w:hAnsi="仿宋" w:eastAsia="仿宋" w:cs="仿宋"/>
                <w:sz w:val="28"/>
                <w:szCs w:val="28"/>
              </w:rPr>
              <w:br w:type="textWrapping"/>
            </w:r>
            <w:r>
              <w:rPr>
                <w:rFonts w:hint="eastAsia" w:ascii="仿宋" w:hAnsi="仿宋" w:eastAsia="仿宋" w:cs="仿宋"/>
                <w:sz w:val="28"/>
                <w:szCs w:val="28"/>
              </w:rPr>
              <w:t>（甲方全称）</w:t>
            </w:r>
          </w:p>
        </w:tc>
        <w:tc>
          <w:tcPr>
            <w:tcW w:w="2313" w:type="dxa"/>
          </w:tcPr>
          <w:p>
            <w:pPr>
              <w:rPr>
                <w:rFonts w:hint="eastAsia" w:ascii="仿宋" w:hAnsi="仿宋" w:eastAsia="仿宋" w:cs="仿宋"/>
                <w:sz w:val="28"/>
                <w:szCs w:val="28"/>
              </w:rPr>
            </w:pPr>
          </w:p>
        </w:tc>
        <w:tc>
          <w:tcPr>
            <w:tcW w:w="2521" w:type="dxa"/>
          </w:tcPr>
          <w:p>
            <w:pPr>
              <w:rPr>
                <w:rFonts w:hint="eastAsia" w:ascii="仿宋" w:hAnsi="仿宋" w:eastAsia="仿宋" w:cs="仿宋"/>
                <w:sz w:val="28"/>
                <w:szCs w:val="28"/>
              </w:rPr>
            </w:pPr>
          </w:p>
        </w:tc>
        <w:tc>
          <w:tcPr>
            <w:tcW w:w="1953" w:type="dxa"/>
          </w:tcPr>
          <w:p>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查见本文档第四部分第**页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tcPr>
          <w:p>
            <w:pPr>
              <w:rPr>
                <w:rFonts w:hint="eastAsia" w:ascii="仿宋" w:hAnsi="仿宋" w:eastAsia="仿宋" w:cs="仿宋"/>
                <w:sz w:val="28"/>
                <w:szCs w:val="28"/>
              </w:rPr>
            </w:pPr>
          </w:p>
        </w:tc>
        <w:tc>
          <w:tcPr>
            <w:tcW w:w="2313" w:type="dxa"/>
          </w:tcPr>
          <w:p>
            <w:pPr>
              <w:rPr>
                <w:rFonts w:hint="eastAsia" w:ascii="仿宋" w:hAnsi="仿宋" w:eastAsia="仿宋" w:cs="仿宋"/>
                <w:sz w:val="28"/>
                <w:szCs w:val="28"/>
              </w:rPr>
            </w:pPr>
          </w:p>
        </w:tc>
        <w:tc>
          <w:tcPr>
            <w:tcW w:w="2521" w:type="dxa"/>
          </w:tcPr>
          <w:p>
            <w:pPr>
              <w:rPr>
                <w:rFonts w:hint="eastAsia" w:ascii="仿宋" w:hAnsi="仿宋" w:eastAsia="仿宋" w:cs="仿宋"/>
                <w:sz w:val="28"/>
                <w:szCs w:val="28"/>
              </w:rPr>
            </w:pPr>
          </w:p>
        </w:tc>
        <w:tc>
          <w:tcPr>
            <w:tcW w:w="1953" w:type="dxa"/>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331" w:type="dxa"/>
          </w:tcPr>
          <w:p>
            <w:pPr>
              <w:rPr>
                <w:rFonts w:hint="eastAsia" w:ascii="仿宋" w:hAnsi="仿宋" w:eastAsia="仿宋" w:cs="仿宋"/>
                <w:sz w:val="28"/>
                <w:szCs w:val="28"/>
              </w:rPr>
            </w:pPr>
          </w:p>
        </w:tc>
        <w:tc>
          <w:tcPr>
            <w:tcW w:w="2313" w:type="dxa"/>
          </w:tcPr>
          <w:p>
            <w:pPr>
              <w:rPr>
                <w:rFonts w:hint="eastAsia" w:ascii="仿宋" w:hAnsi="仿宋" w:eastAsia="仿宋" w:cs="仿宋"/>
                <w:sz w:val="28"/>
                <w:szCs w:val="28"/>
              </w:rPr>
            </w:pPr>
          </w:p>
        </w:tc>
        <w:tc>
          <w:tcPr>
            <w:tcW w:w="2521" w:type="dxa"/>
          </w:tcPr>
          <w:p>
            <w:pPr>
              <w:rPr>
                <w:rFonts w:hint="eastAsia" w:ascii="仿宋" w:hAnsi="仿宋" w:eastAsia="仿宋" w:cs="仿宋"/>
                <w:sz w:val="28"/>
                <w:szCs w:val="28"/>
              </w:rPr>
            </w:pPr>
          </w:p>
        </w:tc>
        <w:tc>
          <w:tcPr>
            <w:tcW w:w="1953" w:type="dxa"/>
          </w:tcPr>
          <w:p>
            <w:pPr>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331" w:type="dxa"/>
          </w:tcPr>
          <w:p>
            <w:pPr>
              <w:rPr>
                <w:rFonts w:hint="eastAsia" w:ascii="仿宋" w:hAnsi="仿宋" w:eastAsia="仿宋" w:cs="仿宋"/>
                <w:sz w:val="28"/>
                <w:szCs w:val="28"/>
              </w:rPr>
            </w:pPr>
          </w:p>
        </w:tc>
        <w:tc>
          <w:tcPr>
            <w:tcW w:w="2313" w:type="dxa"/>
          </w:tcPr>
          <w:p>
            <w:pPr>
              <w:rPr>
                <w:rFonts w:hint="eastAsia" w:ascii="仿宋" w:hAnsi="仿宋" w:eastAsia="仿宋" w:cs="仿宋"/>
                <w:sz w:val="28"/>
                <w:szCs w:val="28"/>
              </w:rPr>
            </w:pPr>
          </w:p>
        </w:tc>
        <w:tc>
          <w:tcPr>
            <w:tcW w:w="2521" w:type="dxa"/>
          </w:tcPr>
          <w:p>
            <w:pPr>
              <w:rPr>
                <w:rFonts w:hint="eastAsia" w:ascii="仿宋" w:hAnsi="仿宋" w:eastAsia="仿宋" w:cs="仿宋"/>
                <w:sz w:val="28"/>
                <w:szCs w:val="28"/>
              </w:rPr>
            </w:pPr>
          </w:p>
        </w:tc>
        <w:tc>
          <w:tcPr>
            <w:tcW w:w="1953" w:type="dxa"/>
          </w:tcPr>
          <w:p>
            <w:pPr>
              <w:rPr>
                <w:rFonts w:hint="eastAsia" w:ascii="仿宋" w:hAnsi="仿宋" w:eastAsia="仿宋" w:cs="仿宋"/>
                <w:sz w:val="28"/>
                <w:szCs w:val="28"/>
              </w:rPr>
            </w:pPr>
          </w:p>
        </w:tc>
      </w:tr>
    </w:tbl>
    <w:p>
      <w:pPr>
        <w:rPr>
          <w:rFonts w:hint="eastAsia" w:ascii="仿宋" w:hAnsi="仿宋" w:eastAsia="仿宋" w:cs="仿宋"/>
          <w:b/>
          <w:bCs/>
          <w:sz w:val="28"/>
          <w:szCs w:val="28"/>
        </w:rPr>
      </w:pPr>
    </w:p>
    <w:p>
      <w:pPr>
        <w:ind w:left="0" w:leftChars="0" w:firstLine="0" w:firstLineChars="0"/>
        <w:jc w:val="center"/>
        <w:outlineLvl w:val="0"/>
        <w:rPr>
          <w:rFonts w:hint="eastAsia" w:ascii="仿宋" w:hAnsi="仿宋" w:eastAsia="仿宋" w:cs="仿宋"/>
          <w:b/>
          <w:bCs/>
          <w:sz w:val="32"/>
          <w:szCs w:val="32"/>
        </w:rPr>
      </w:pPr>
      <w:r>
        <w:rPr>
          <w:rFonts w:hint="eastAsia" w:ascii="仿宋" w:hAnsi="仿宋" w:eastAsia="仿宋" w:cs="仿宋"/>
          <w:b/>
          <w:bCs/>
          <w:sz w:val="32"/>
          <w:szCs w:val="32"/>
        </w:rPr>
        <w:t>第四部分 详细介绍</w:t>
      </w:r>
    </w:p>
    <w:p>
      <w:pPr>
        <w:outlineLvl w:val="1"/>
        <w:rPr>
          <w:rFonts w:hint="eastAsia" w:ascii="仿宋" w:hAnsi="仿宋" w:eastAsia="仿宋" w:cs="仿宋"/>
          <w:bCs/>
          <w:sz w:val="28"/>
          <w:szCs w:val="28"/>
        </w:rPr>
      </w:pPr>
      <w:r>
        <w:rPr>
          <w:rFonts w:hint="eastAsia" w:ascii="仿宋" w:hAnsi="仿宋" w:eastAsia="仿宋" w:cs="仿宋"/>
          <w:bCs/>
          <w:sz w:val="28"/>
          <w:szCs w:val="28"/>
        </w:rPr>
        <w:t>一、公司简介</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公司全称，统一社会信用代码，公司类型，注册资本，法人代表姓名，企业网址，纳税人类型，员工数量，公司通讯地址及邮编，联系人及职务，联系人手机号码及电子邮箱地址，公司主营业务，分公司或办事处的详细地址和联系方式。</w:t>
      </w:r>
    </w:p>
    <w:p>
      <w:pPr>
        <w:pStyle w:val="13"/>
        <w:ind w:firstLine="0" w:firstLineChars="0"/>
        <w:rPr>
          <w:rFonts w:hint="eastAsia" w:ascii="仿宋" w:hAnsi="仿宋" w:eastAsia="仿宋" w:cs="仿宋"/>
          <w:bCs/>
          <w:color w:val="0000FF"/>
          <w:sz w:val="28"/>
          <w:szCs w:val="28"/>
        </w:rPr>
      </w:pPr>
    </w:p>
    <w:p>
      <w:pPr>
        <w:outlineLvl w:val="1"/>
        <w:rPr>
          <w:rFonts w:hint="eastAsia" w:ascii="仿宋" w:hAnsi="仿宋" w:eastAsia="仿宋" w:cs="仿宋"/>
          <w:bCs/>
          <w:color w:val="0000FF"/>
          <w:sz w:val="28"/>
          <w:szCs w:val="28"/>
          <w:lang w:eastAsia="zh-CN"/>
        </w:rPr>
      </w:pPr>
      <w:r>
        <w:rPr>
          <w:rFonts w:hint="eastAsia" w:ascii="仿宋" w:hAnsi="仿宋" w:eastAsia="仿宋" w:cs="仿宋"/>
          <w:bCs/>
          <w:sz w:val="28"/>
          <w:szCs w:val="28"/>
        </w:rPr>
        <w:t>二、公司资质、认证等材料</w:t>
      </w:r>
      <w:r>
        <w:rPr>
          <w:rFonts w:hint="eastAsia" w:ascii="仿宋" w:hAnsi="仿宋" w:eastAsia="仿宋" w:cs="仿宋"/>
          <w:bCs/>
          <w:color w:val="000000" w:themeColor="text1"/>
          <w:sz w:val="28"/>
          <w:szCs w:val="28"/>
          <w:lang w:eastAsia="zh-CN"/>
          <w14:textFill>
            <w14:solidFill>
              <w14:schemeClr w14:val="tx1"/>
            </w14:solidFill>
          </w14:textFill>
        </w:rPr>
        <w:t>（</w:t>
      </w:r>
      <w:r>
        <w:rPr>
          <w:rFonts w:hint="eastAsia" w:ascii="仿宋" w:hAnsi="仿宋" w:eastAsia="仿宋" w:cs="仿宋"/>
          <w:bCs/>
          <w:color w:val="000000" w:themeColor="text1"/>
          <w:sz w:val="28"/>
          <w:szCs w:val="28"/>
          <w:lang w:val="en-US" w:eastAsia="zh-CN"/>
          <w14:textFill>
            <w14:solidFill>
              <w14:schemeClr w14:val="tx1"/>
            </w14:solidFill>
          </w14:textFill>
        </w:rPr>
        <w:t>扫描件</w:t>
      </w:r>
      <w:r>
        <w:rPr>
          <w:rFonts w:hint="eastAsia" w:ascii="仿宋" w:hAnsi="仿宋" w:eastAsia="仿宋" w:cs="仿宋"/>
          <w:bCs/>
          <w:color w:val="000000" w:themeColor="text1"/>
          <w:sz w:val="28"/>
          <w:szCs w:val="28"/>
          <w:lang w:eastAsia="zh-CN"/>
          <w14:textFill>
            <w14:solidFill>
              <w14:schemeClr w14:val="tx1"/>
            </w14:solidFill>
          </w14:textFill>
        </w:rPr>
        <w:t>）</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（一）行业资质认证。例如：质量管理体系认证，环境管理体系认证，职业健康安全管理体系认证等。</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（二）产品认证。如3C 认证，节能环保产品认证等。</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（三）供应商若为代理商，需提交相关代理协议书或原厂授权书。</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（四）技术能力介绍：①公司拥有的自主知识产权名称、数量（须提供扫描件作为证明）</w:t>
      </w:r>
      <w:r>
        <w:rPr>
          <w:rFonts w:hint="default"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②行业内龙头企业排名或优质企业资质认证材料。</w:t>
      </w:r>
    </w:p>
    <w:p>
      <w:pPr>
        <w:outlineLvl w:val="1"/>
        <w:rPr>
          <w:rFonts w:hint="eastAsia" w:ascii="仿宋" w:hAnsi="仿宋" w:eastAsia="仿宋" w:cs="仿宋"/>
          <w:bCs/>
          <w:sz w:val="28"/>
          <w:szCs w:val="28"/>
        </w:rPr>
      </w:pPr>
    </w:p>
    <w:p>
      <w:pPr>
        <w:numPr>
          <w:ilvl w:val="0"/>
          <w:numId w:val="1"/>
        </w:numPr>
        <w:outlineLvl w:val="1"/>
        <w:rPr>
          <w:rFonts w:hint="eastAsia" w:ascii="仿宋" w:hAnsi="仿宋" w:eastAsia="仿宋" w:cs="仿宋"/>
          <w:bCs/>
          <w:sz w:val="28"/>
          <w:szCs w:val="28"/>
        </w:rPr>
      </w:pPr>
      <w:r>
        <w:rPr>
          <w:rFonts w:hint="eastAsia" w:ascii="仿宋" w:hAnsi="仿宋" w:eastAsia="仿宋" w:cs="仿宋"/>
          <w:bCs/>
          <w:sz w:val="28"/>
          <w:szCs w:val="28"/>
        </w:rPr>
        <w:t>服务案例证明材料</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包括但不限于：银行业的实施案例：国有银行或全国性股份制商业银行总行近三年内相关领域案例。</w:t>
      </w:r>
    </w:p>
    <w:p>
      <w:pPr>
        <w:spacing w:line="460" w:lineRule="exact"/>
        <w:outlineLvl w:val="1"/>
        <w:rPr>
          <w:rFonts w:hint="eastAsia" w:ascii="仿宋" w:hAnsi="仿宋" w:eastAsia="仿宋" w:cs="仿宋"/>
          <w:bCs/>
          <w:sz w:val="28"/>
          <w:szCs w:val="28"/>
        </w:rPr>
      </w:pPr>
      <w:r>
        <w:rPr>
          <w:rFonts w:hint="eastAsia" w:ascii="仿宋" w:hAnsi="仿宋" w:eastAsia="仿宋" w:cs="仿宋"/>
          <w:bCs/>
          <w:sz w:val="28"/>
          <w:szCs w:val="28"/>
        </w:rPr>
        <w:t>（提供本材料第三部分所列合同清单的合同首尾页及服务内容证明页的扫描件）</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四、与兴业银行历史合作情况</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460" w:lineRule="exact"/>
        <w:ind w:firstLine="560" w:firstLineChars="20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提供与兴业银行近两年采购合作情况，并说明是否在与兴业银行的历史合作期间出现违约或严重过失行为的情况说明。</w:t>
      </w:r>
    </w:p>
    <w:tbl>
      <w:tblPr>
        <w:tblStyle w:val="9"/>
        <w:tblpPr w:leftFromText="180" w:rightFromText="180" w:vertAnchor="text" w:horzAnchor="page" w:tblpX="1894" w:tblpY="345"/>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8"/>
        <w:gridCol w:w="1691"/>
        <w:gridCol w:w="1265"/>
        <w:gridCol w:w="1233"/>
        <w:gridCol w:w="1276"/>
        <w:gridCol w:w="21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3" w:hRule="atLeast"/>
        </w:trPr>
        <w:tc>
          <w:tcPr>
            <w:tcW w:w="85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与兴业银行合作情况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4"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合作起止时间</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合同名称</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合同编号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160" w:leftChars="-50" w:right="-160" w:rightChars="-5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兴业银行机构名称</w:t>
            </w:r>
          </w:p>
        </w:tc>
        <w:tc>
          <w:tcPr>
            <w:tcW w:w="2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400" w:lineRule="exact"/>
              <w:ind w:left="0" w:leftChars="0" w:firstLine="0" w:firstLineChars="0"/>
              <w:jc w:val="left"/>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与兴业银行历史合作期间出现违约或严重过失行为的情况说明（不限于近五年）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400" w:lineRule="exact"/>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00" w:lineRule="exact"/>
              <w:rPr>
                <w:rFonts w:hint="eastAsia" w:ascii="仿宋" w:hAnsi="仿宋" w:eastAsia="仿宋" w:cs="仿宋"/>
                <w:i w:val="0"/>
                <w:iCs w:val="0"/>
                <w:color w:val="000000"/>
                <w:sz w:val="28"/>
                <w:szCs w:val="28"/>
                <w:u w:val="none"/>
              </w:rPr>
            </w:pPr>
          </w:p>
        </w:tc>
      </w:tr>
    </w:tbl>
    <w:p>
      <w:pPr>
        <w:rPr>
          <w:rFonts w:hint="eastAsia" w:ascii="仿宋" w:hAnsi="仿宋" w:eastAsia="仿宋" w:cs="仿宋"/>
          <w:sz w:val="32"/>
          <w:szCs w:val="32"/>
        </w:rPr>
      </w:pPr>
    </w:p>
    <w:p>
      <w:pPr>
        <w:pStyle w:val="2"/>
        <w:rPr>
          <w:rFonts w:hint="eastAsia" w:ascii="仿宋" w:hAnsi="仿宋" w:eastAsia="仿宋" w:cs="仿宋"/>
          <w:sz w:val="32"/>
          <w:szCs w:val="32"/>
        </w:rPr>
      </w:pPr>
    </w:p>
    <w:p>
      <w:pPr>
        <w:pStyle w:val="4"/>
        <w:rPr>
          <w:rFonts w:hint="eastAsia" w:ascii="仿宋" w:hAnsi="仿宋" w:eastAsia="仿宋" w:cs="仿宋"/>
          <w:sz w:val="32"/>
          <w:szCs w:val="32"/>
        </w:rPr>
      </w:pPr>
    </w:p>
    <w:p>
      <w:pPr>
        <w:pStyle w:val="4"/>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彩虹粗仿宋">
    <w:altName w:val="微软雅黑"/>
    <w:panose1 w:val="00000000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9EFE13"/>
    <w:multiLevelType w:val="singleLevel"/>
    <w:tmpl w:val="F69EFE1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03274"/>
    <w:rsid w:val="1A9B55D1"/>
    <w:rsid w:val="27146BB8"/>
    <w:rsid w:val="392B301B"/>
    <w:rsid w:val="3FB90D14"/>
    <w:rsid w:val="4A454C3E"/>
    <w:rsid w:val="67CF4D21"/>
    <w:rsid w:val="68A532B2"/>
    <w:rsid w:val="69295A8E"/>
    <w:rsid w:val="6AE722E9"/>
    <w:rsid w:val="7F7F93E8"/>
    <w:rsid w:val="BFAF796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彩虹粗仿宋" w:hAnsi="彩虹粗仿宋" w:eastAsia="彩虹粗仿宋" w:cs="Times New Roman"/>
      <w:kern w:val="2"/>
      <w:sz w:val="32"/>
      <w:szCs w:val="22"/>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tabs>
        <w:tab w:val="left" w:pos="0"/>
        <w:tab w:val="left" w:pos="993"/>
        <w:tab w:val="left" w:pos="1134"/>
      </w:tabs>
      <w:spacing w:line="312" w:lineRule="atLeast"/>
      <w:ind w:firstLine="420"/>
    </w:pPr>
  </w:style>
  <w:style w:type="paragraph" w:styleId="3">
    <w:name w:val="Body Text Indent"/>
    <w:basedOn w:val="1"/>
    <w:next w:val="2"/>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customStyle="1" w:styleId="4">
    <w:name w:val="正文格式"/>
    <w:basedOn w:val="1"/>
    <w:qFormat/>
    <w:uiPriority w:val="0"/>
    <w:pPr>
      <w:tabs>
        <w:tab w:val="left" w:pos="992"/>
      </w:tabs>
      <w:spacing w:line="240" w:lineRule="auto"/>
      <w:ind w:firstLine="200" w:firstLineChars="200"/>
    </w:pPr>
    <w:rPr>
      <w:rFonts w:ascii="宋体" w:hAnsi="宋体"/>
      <w:sz w:val="28"/>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0"/>
    <w:rPr>
      <w:b/>
    </w:rPr>
  </w:style>
  <w:style w:type="paragraph" w:styleId="13">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0</Words>
  <Characters>0</Characters>
  <Lines>0</Lines>
  <Paragraphs>0</Paragraphs>
  <TotalTime>3</TotalTime>
  <ScaleCrop>false</ScaleCrop>
  <LinksUpToDate>false</LinksUpToDate>
  <CharactersWithSpaces>0</CharactersWithSpaces>
  <Application>WPS Office_11.8.2.10164_F1E327BC-269C-435d-A152-05C5408002CA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2024-05-06T18:47:00Z</dcterms:created>
  <dc:creator>cib</dc:creator>
  <cp:lastModifiedBy>段玉梅</cp:lastModifiedBy>
  <dcterms:modified xsi:type="dcterms:W3CDTF">2026-09-04T01:52:50Z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2052-11.8.2.10164</vt:lpwstr>
  </property>
  <property fmtid="{D5CDD505-2E9C-101B-9397-08002B2CF9AE}" pid="3" name="ICV">
    <vt:lpwstr>AF27EF3AF3E74857BD97E54FB31D7A83</vt:lpwstr>
  </property>
</Properties>
</file>