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left"/>
        <w:outlineLvl w:val="0"/>
        <w:rPr>
          <w:rFonts w:hint="default" w:ascii="黑体" w:hAnsi="黑体" w:eastAsia="黑体" w:cs="黑体"/>
          <w:sz w:val="32"/>
          <w:szCs w:val="32"/>
          <w:lang w:val="en-US" w:eastAsia="zh-CN"/>
        </w:rPr>
      </w:pPr>
      <w:bookmarkStart w:id="0" w:name="_Toc7457"/>
      <w:r>
        <w:rPr>
          <w:rFonts w:hint="eastAsia" w:ascii="黑体" w:hAnsi="黑体" w:eastAsia="黑体" w:cs="黑体"/>
          <w:sz w:val="32"/>
          <w:szCs w:val="32"/>
          <w:lang w:val="en-US" w:eastAsia="zh-CN"/>
        </w:rPr>
        <w:t>附件</w:t>
      </w:r>
      <w:bookmarkEnd w:id="0"/>
      <w:r>
        <w:rPr>
          <w:rFonts w:hint="eastAsia" w:ascii="黑体" w:hAnsi="黑体" w:eastAsia="黑体" w:cs="黑体"/>
          <w:sz w:val="32"/>
          <w:szCs w:val="32"/>
          <w:lang w:val="en-US" w:eastAsia="zh-CN"/>
        </w:rPr>
        <w:t>1</w:t>
      </w:r>
      <w:bookmarkStart w:id="1" w:name="_GoBack"/>
      <w:bookmarkEnd w:id="1"/>
    </w:p>
    <w:p>
      <w:pPr>
        <w:jc w:val="center"/>
        <w:rPr>
          <w:rFonts w:hint="eastAsia" w:ascii="仿宋" w:hAnsi="仿宋" w:eastAsia="仿宋"/>
          <w:b/>
          <w:bCs/>
          <w:sz w:val="28"/>
          <w:szCs w:val="28"/>
        </w:rPr>
      </w:pPr>
    </w:p>
    <w:p>
      <w:pPr>
        <w:ind w:left="0" w:leftChars="0" w:firstLine="0" w:firstLineChars="0"/>
        <w:jc w:val="both"/>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w:t>
      </w:r>
      <w:r>
        <w:rPr>
          <w:rStyle w:val="12"/>
          <w:rFonts w:hint="eastAsia" w:ascii="宋体" w:hAnsi="宋体" w:eastAsia="宋体" w:cs="宋体"/>
          <w:i w:val="0"/>
          <w:iCs w:val="0"/>
          <w:caps w:val="0"/>
          <w:color w:val="000000"/>
          <w:spacing w:val="0"/>
          <w:kern w:val="0"/>
          <w:sz w:val="44"/>
          <w:szCs w:val="44"/>
          <w:highlight w:val="none"/>
          <w:lang w:val="en-US" w:eastAsia="zh-CN" w:bidi="ar"/>
        </w:rPr>
        <w:t>兴业银行昆明分行关于2026年昆明市区公交车站广告投放项目</w:t>
      </w:r>
      <w:r>
        <w:rPr>
          <w:rFonts w:hint="eastAsia" w:asciiTheme="majorEastAsia" w:hAnsiTheme="majorEastAsia" w:eastAsiaTheme="majorEastAsia" w:cstheme="majorEastAsia"/>
          <w:b/>
          <w:bCs/>
          <w:sz w:val="44"/>
          <w:szCs w:val="44"/>
        </w:rPr>
        <w:t>》供应商征集反馈材料-公司名称（全称）</w:t>
      </w:r>
    </w:p>
    <w:p>
      <w:pPr>
        <w:jc w:val="left"/>
        <w:rPr>
          <w:rFonts w:ascii="仿宋" w:hAnsi="仿宋" w:eastAsia="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第一部分 项目要求应答部分</w:t>
      </w:r>
    </w:p>
    <w:tbl>
      <w:tblPr>
        <w:tblStyle w:val="10"/>
        <w:tblW w:w="9563" w:type="dxa"/>
        <w:tblInd w:w="-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2370"/>
        <w:gridCol w:w="5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861" w:type="dxa"/>
            <w:vAlign w:val="center"/>
          </w:tcPr>
          <w:p>
            <w:pPr>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审核事项</w:t>
            </w:r>
          </w:p>
        </w:tc>
        <w:tc>
          <w:tcPr>
            <w:tcW w:w="2370" w:type="dxa"/>
            <w:vAlign w:val="center"/>
          </w:tcPr>
          <w:p>
            <w:pPr>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是否满足（是/否）</w:t>
            </w:r>
          </w:p>
        </w:tc>
        <w:tc>
          <w:tcPr>
            <w:tcW w:w="5332"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563" w:type="dxa"/>
            <w:gridSpan w:val="3"/>
            <w:vAlign w:val="center"/>
          </w:tcPr>
          <w:p>
            <w:pPr>
              <w:ind w:left="0" w:leftChars="0" w:firstLine="0" w:firstLineChars="0"/>
              <w:jc w:val="left"/>
              <w:rPr>
                <w:rFonts w:hint="eastAsia" w:ascii="仿宋" w:hAnsi="仿宋" w:eastAsia="仿宋" w:cs="仿宋"/>
                <w:b/>
                <w:bCs/>
                <w:sz w:val="28"/>
                <w:szCs w:val="28"/>
              </w:rPr>
            </w:pPr>
            <w:r>
              <w:rPr>
                <w:rFonts w:hint="eastAsia" w:ascii="仿宋" w:hAnsi="仿宋" w:eastAsia="仿宋" w:cs="仿宋"/>
                <w:b/>
                <w:bCs/>
                <w:sz w:val="28"/>
                <w:szCs w:val="28"/>
              </w:rPr>
              <w:t>一、采购需求及资格要求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trPr>
        <w:tc>
          <w:tcPr>
            <w:tcW w:w="1861"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b/>
                <w:bCs/>
                <w:sz w:val="28"/>
                <w:szCs w:val="28"/>
              </w:rPr>
              <w:t>1.1采购需求</w:t>
            </w:r>
          </w:p>
        </w:tc>
        <w:tc>
          <w:tcPr>
            <w:tcW w:w="2370" w:type="dxa"/>
            <w:vAlign w:val="center"/>
          </w:tcPr>
          <w:p>
            <w:pPr>
              <w:jc w:val="center"/>
              <w:rPr>
                <w:rFonts w:hint="eastAsia" w:ascii="仿宋" w:hAnsi="仿宋" w:eastAsia="仿宋" w:cs="仿宋"/>
                <w:sz w:val="28"/>
                <w:szCs w:val="28"/>
              </w:rPr>
            </w:pPr>
          </w:p>
        </w:tc>
        <w:tc>
          <w:tcPr>
            <w:tcW w:w="5332" w:type="dxa"/>
            <w:vAlign w:val="center"/>
          </w:tcPr>
          <w:p>
            <w:pPr>
              <w:pStyle w:val="7"/>
              <w:bidi w:val="0"/>
              <w:ind w:left="0" w:leftChars="0" w:firstLine="0" w:firstLineChars="0"/>
              <w:jc w:val="center"/>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 xml:space="preserve">    采购范围包括昆明市区内公交车站广告牌广告投放项目，拟采购包含一二一大街、环城西路、环城南路、海宏路、广福路、海埂路、昌源中路、圆通街、人民西路、北京路、民航路、北辰大道、金源大道等主干道站台媒体资源，本次广告投放拟定单次发布数量17块，发布频次为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3" w:type="dxa"/>
            <w:gridSpan w:val="3"/>
            <w:vAlign w:val="top"/>
          </w:tcPr>
          <w:p>
            <w:pPr>
              <w:ind w:left="0" w:leftChars="0" w:firstLine="0" w:firstLineChars="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1.</w:t>
            </w:r>
            <w:r>
              <w:rPr>
                <w:rFonts w:hint="eastAsia" w:asciiTheme="minorEastAsia" w:hAnsiTheme="minorEastAsia" w:eastAsiaTheme="minorEastAsia" w:cstheme="minorEastAsia"/>
                <w:b/>
                <w:bCs/>
                <w:sz w:val="28"/>
                <w:szCs w:val="28"/>
                <w:lang w:val="en-US" w:eastAsia="zh-CN"/>
              </w:rPr>
              <w:t>2供应商资质要求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861" w:type="dxa"/>
            <w:vAlign w:val="center"/>
          </w:tcPr>
          <w:p>
            <w:pPr>
              <w:ind w:left="0" w:leftChars="0" w:firstLine="0" w:firstLineChars="0"/>
              <w:rPr>
                <w:rFonts w:hint="default" w:ascii="仿宋" w:hAnsi="仿宋" w:eastAsia="仿宋" w:cs="仿宋"/>
                <w:sz w:val="28"/>
                <w:szCs w:val="28"/>
                <w:lang w:val="en-US"/>
              </w:rPr>
            </w:pPr>
            <w:r>
              <w:rPr>
                <w:rFonts w:hint="eastAsia" w:ascii="仿宋" w:hAnsi="仿宋" w:eastAsia="仿宋" w:cs="仿宋"/>
                <w:sz w:val="28"/>
                <w:szCs w:val="28"/>
              </w:rPr>
              <w:t>1.</w:t>
            </w:r>
            <w:r>
              <w:rPr>
                <w:rFonts w:hint="eastAsia" w:ascii="仿宋" w:hAnsi="仿宋" w:eastAsia="仿宋" w:cs="仿宋"/>
                <w:sz w:val="28"/>
                <w:szCs w:val="28"/>
                <w:lang w:val="en-US" w:eastAsia="zh-CN"/>
              </w:rPr>
              <w:t>2.1</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企业成立三年以上，近三年财务稳健财务稳定，可稳定提供服务。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9" w:hRule="atLeast"/>
        </w:trPr>
        <w:tc>
          <w:tcPr>
            <w:tcW w:w="1861" w:type="dxa"/>
            <w:vAlign w:val="center"/>
          </w:tcPr>
          <w:p>
            <w:pPr>
              <w:ind w:left="0" w:leftChars="0" w:firstLine="0" w:firstLineChars="0"/>
              <w:rPr>
                <w:rFonts w:hint="default" w:ascii="仿宋" w:hAnsi="仿宋" w:eastAsia="仿宋" w:cs="仿宋"/>
                <w:sz w:val="28"/>
                <w:szCs w:val="28"/>
                <w:lang w:val="en-US"/>
              </w:rPr>
            </w:pPr>
            <w:r>
              <w:rPr>
                <w:rFonts w:hint="eastAsia" w:ascii="仿宋" w:hAnsi="仿宋" w:eastAsia="仿宋" w:cs="仿宋"/>
                <w:sz w:val="28"/>
                <w:szCs w:val="28"/>
              </w:rPr>
              <w:t>1.</w:t>
            </w:r>
            <w:r>
              <w:rPr>
                <w:rFonts w:hint="eastAsia" w:ascii="仿宋" w:hAnsi="仿宋" w:eastAsia="仿宋" w:cs="仿宋"/>
                <w:sz w:val="28"/>
                <w:szCs w:val="28"/>
                <w:lang w:val="en-US" w:eastAsia="zh-CN"/>
              </w:rPr>
              <w:t>2.2</w:t>
            </w:r>
          </w:p>
        </w:tc>
        <w:tc>
          <w:tcPr>
            <w:tcW w:w="2370" w:type="dxa"/>
            <w:vAlign w:val="center"/>
          </w:tcPr>
          <w:p>
            <w:pPr>
              <w:rPr>
                <w:rFonts w:hint="eastAsia" w:ascii="仿宋" w:hAnsi="仿宋" w:eastAsia="仿宋" w:cs="仿宋"/>
                <w:sz w:val="28"/>
                <w:szCs w:val="28"/>
              </w:rPr>
            </w:pPr>
          </w:p>
        </w:tc>
        <w:tc>
          <w:tcPr>
            <w:tcW w:w="5332" w:type="dxa"/>
            <w:vAlign w:val="center"/>
          </w:tcPr>
          <w:p>
            <w:pPr>
              <w:pStyle w:val="7"/>
              <w:keepNext w:val="0"/>
              <w:keepLines w:val="0"/>
              <w:pageBreakBefore w:val="0"/>
              <w:kinsoku/>
              <w:wordWrap/>
              <w:overflowPunct/>
              <w:topLinePunct w:val="0"/>
              <w:bidi w:val="0"/>
              <w:snapToGrid w:val="0"/>
              <w:spacing w:beforeAutospacing="0" w:line="240" w:lineRule="auto"/>
              <w:ind w:left="0" w:leftChars="0" w:firstLine="560" w:firstLineChars="200"/>
              <w:jc w:val="both"/>
              <w:textAlignment w:val="auto"/>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提供2023年1月1日至今与本项目公交站台广告投放相似的成功案例共3例，其中包括与21家国内系统重要性银行总部级合作成功案例1例（须提供相关案例合同证明材料,并标示相关内容，以合同签订日期为准）。</w:t>
            </w:r>
          </w:p>
          <w:p>
            <w:pPr>
              <w:pStyle w:val="7"/>
              <w:keepNext w:val="0"/>
              <w:keepLines w:val="0"/>
              <w:pageBreakBefore w:val="0"/>
              <w:kinsoku/>
              <w:wordWrap/>
              <w:overflowPunct/>
              <w:topLinePunct w:val="0"/>
              <w:bidi w:val="0"/>
              <w:snapToGrid w:val="0"/>
              <w:spacing w:beforeAutospacing="0" w:line="240" w:lineRule="auto"/>
              <w:ind w:firstLine="360" w:firstLineChars="20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18"/>
                <w:szCs w:val="18"/>
                <w:highlight w:val="none"/>
                <w:lang w:val="en-US" w:eastAsia="zh-CN"/>
              </w:rPr>
              <w:t>注21家银行：</w:t>
            </w:r>
            <w:r>
              <w:rPr>
                <w:rStyle w:val="13"/>
                <w:rFonts w:hint="eastAsia" w:asciiTheme="minorEastAsia" w:hAnsiTheme="minorEastAsia" w:eastAsiaTheme="minorEastAsia" w:cstheme="minorEastAsia"/>
                <w:sz w:val="18"/>
                <w:szCs w:val="18"/>
                <w:highlight w:val="none"/>
                <w:vertAlign w:val="baseline"/>
              </w:rPr>
              <w:t>工行、中行、建行、农行、交行、邮储、招商、兴业、中信、浦发、光大、民生、平安、华夏、广发、宁波、江苏、上海、北京、南京、浙商</w:t>
            </w:r>
            <w:r>
              <w:rPr>
                <w:rFonts w:hint="eastAsia" w:asciiTheme="minorEastAsia" w:hAnsiTheme="minorEastAsia" w:eastAsiaTheme="minorEastAsia" w:cstheme="minorEastAsia"/>
                <w:sz w:val="18"/>
                <w:szCs w:val="18"/>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861"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1.2.3</w:t>
            </w:r>
          </w:p>
        </w:tc>
        <w:tc>
          <w:tcPr>
            <w:tcW w:w="2370" w:type="dxa"/>
            <w:vAlign w:val="center"/>
          </w:tcPr>
          <w:p>
            <w:pPr>
              <w:rPr>
                <w:rFonts w:hint="eastAsia" w:ascii="仿宋" w:hAnsi="仿宋" w:eastAsia="仿宋" w:cs="仿宋"/>
                <w:sz w:val="28"/>
                <w:szCs w:val="28"/>
              </w:rPr>
            </w:pPr>
          </w:p>
        </w:tc>
        <w:tc>
          <w:tcPr>
            <w:tcW w:w="5332" w:type="dxa"/>
            <w:vAlign w:val="center"/>
          </w:tcPr>
          <w:p>
            <w:pPr>
              <w:pStyle w:val="7"/>
              <w:keepNext w:val="0"/>
              <w:keepLines w:val="0"/>
              <w:pageBreakBefore w:val="0"/>
              <w:kinsoku/>
              <w:wordWrap/>
              <w:overflowPunct/>
              <w:topLinePunct w:val="0"/>
              <w:bidi w:val="0"/>
              <w:snapToGrid w:val="0"/>
              <w:spacing w:beforeAutospacing="0" w:line="240" w:lineRule="auto"/>
              <w:ind w:left="0" w:leftChars="0" w:firstLine="560" w:firstLineChars="200"/>
              <w:jc w:val="both"/>
              <w:textAlignment w:val="auto"/>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拥有昆明市区相关主干道公交车站广告投放相关授权证明。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3" w:type="dxa"/>
            <w:gridSpan w:val="3"/>
            <w:vAlign w:val="top"/>
          </w:tcPr>
          <w:p>
            <w:pPr>
              <w:ind w:left="0" w:leftChars="0" w:firstLine="0" w:firstLineChars="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1.3服务要求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1861"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1.3.1</w:t>
            </w:r>
          </w:p>
        </w:tc>
        <w:tc>
          <w:tcPr>
            <w:tcW w:w="2370" w:type="dxa"/>
            <w:vAlign w:val="center"/>
          </w:tcPr>
          <w:p>
            <w:pPr>
              <w:ind w:left="0" w:leftChars="0" w:firstLine="0" w:firstLineChars="0"/>
              <w:jc w:val="both"/>
              <w:rPr>
                <w:rFonts w:hint="eastAsia" w:ascii="仿宋" w:hAnsi="仿宋" w:eastAsia="仿宋" w:cs="仿宋"/>
                <w:sz w:val="28"/>
                <w:szCs w:val="28"/>
                <w:lang w:val="en-US" w:eastAsia="zh-CN"/>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szCs w:val="28"/>
                <w:lang w:val="en-US" w:eastAsia="zh-CN"/>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广告投放数量共17块广告牌，投放时长6个月，本项目的合作期限为自广告发布起6个月，具体以合同实际签订为准。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3" w:type="dxa"/>
            <w:gridSpan w:val="3"/>
            <w:vAlign w:val="top"/>
          </w:tcPr>
          <w:p>
            <w:pPr>
              <w:ind w:left="0" w:leftChars="0" w:firstLine="0" w:firstLineChars="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二、报名要求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861"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2.1</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依法成立，为存续、在营、开业、在册、登记成立等正常企业状态。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1861"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2.2</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在兴业银行开立对公账户，若中标本项目，则通过兴业银行对公账户结算该项目相关费用。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1861"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2.3</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充分理解我行服务需求并能够根据需求提供相应的服务。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861"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2.4</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具有良好的商业信誉且正常经营。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861"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2.5</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依法缴纳税收和社会保障资金。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5" w:hRule="atLeast"/>
        </w:trPr>
        <w:tc>
          <w:tcPr>
            <w:tcW w:w="1861"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2.6</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未被“信用中国”网列入“重大税收违法案件当事人名单”、未被“中国执行信息公开网”列入“失信被执行人名单”、未被“中国政府采购网”列入“政府采购严重违法失信行为信息记录名单”、未被“国家企业信用信息公示系统”列入网站“严重违法失信企业名单”，不在兴业银行供应商禁用/退出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1861"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2.7</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经营范围经国家行政管理部门依法批准，同时获得从事行业有效执业证明、行政许可、专业资质等证照。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1861"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2.8</w:t>
            </w:r>
          </w:p>
        </w:tc>
        <w:tc>
          <w:tcPr>
            <w:tcW w:w="2370" w:type="dxa"/>
            <w:vAlign w:val="center"/>
          </w:tcPr>
          <w:p>
            <w:pPr>
              <w:rPr>
                <w:rFonts w:hint="eastAsia" w:ascii="仿宋" w:hAnsi="仿宋" w:eastAsia="仿宋" w:cs="仿宋"/>
                <w:sz w:val="28"/>
                <w:szCs w:val="28"/>
              </w:rPr>
            </w:pPr>
          </w:p>
        </w:tc>
        <w:tc>
          <w:tcPr>
            <w:tcW w:w="5332" w:type="dxa"/>
            <w:vAlign w:val="center"/>
          </w:tcPr>
          <w:p>
            <w:pPr>
              <w:pStyle w:val="7"/>
              <w:bidi w:val="0"/>
              <w:ind w:left="0" w:leftChars="0" w:firstLine="560" w:firstLineChars="200"/>
              <w:jc w:val="both"/>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两年内目标服务领域未出现严重安全事件。</w:t>
            </w:r>
          </w:p>
        </w:tc>
      </w:tr>
    </w:tbl>
    <w:p>
      <w:pPr>
        <w:ind w:firstLine="560" w:firstLineChars="200"/>
        <w:rPr>
          <w:rFonts w:hint="eastAsia" w:ascii="仿宋" w:hAnsi="仿宋" w:eastAsia="仿宋" w:cs="仿宋"/>
          <w:b/>
          <w:bCs/>
          <w:sz w:val="28"/>
          <w:szCs w:val="28"/>
        </w:rPr>
      </w:pPr>
      <w:r>
        <w:rPr>
          <w:rFonts w:hint="eastAsia" w:ascii="仿宋" w:hAnsi="仿宋" w:eastAsia="仿宋" w:cs="仿宋"/>
          <w:sz w:val="28"/>
          <w:szCs w:val="28"/>
        </w:rPr>
        <w:t>供应商须对报名信息和资料的真实性负责。如提供虚假材料，将取消报名资格并列入我行供应商黑名单。</w:t>
      </w:r>
    </w:p>
    <w:p>
      <w:pPr>
        <w:outlineLvl w:val="0"/>
        <w:rPr>
          <w:rFonts w:hint="eastAsia" w:ascii="仿宋" w:hAnsi="仿宋" w:eastAsia="仿宋" w:cs="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第二部分 供应商基础信息部分</w:t>
      </w:r>
    </w:p>
    <w:tbl>
      <w:tblPr>
        <w:tblStyle w:val="10"/>
        <w:tblW w:w="9492"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1"/>
        <w:gridCol w:w="6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6471" w:type="dxa"/>
            <w:vAlign w:val="center"/>
          </w:tcPr>
          <w:p>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注册资金及实缴资本（万</w:t>
            </w:r>
            <w:r>
              <w:rPr>
                <w:rFonts w:hint="default" w:ascii="仿宋" w:hAnsi="仿宋" w:eastAsia="仿宋" w:cs="仿宋"/>
                <w:sz w:val="28"/>
                <w:szCs w:val="28"/>
              </w:rPr>
              <w:t>元</w:t>
            </w:r>
            <w:r>
              <w:rPr>
                <w:rFonts w:hint="eastAsia" w:ascii="仿宋" w:hAnsi="仿宋" w:eastAsia="仿宋" w:cs="仿宋"/>
                <w:sz w:val="28"/>
                <w:szCs w:val="28"/>
              </w:rPr>
              <w:t>）</w:t>
            </w:r>
          </w:p>
        </w:tc>
        <w:tc>
          <w:tcPr>
            <w:tcW w:w="6471" w:type="dxa"/>
          </w:tcPr>
          <w:p>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注册资金：    万</w:t>
            </w:r>
            <w:r>
              <w:rPr>
                <w:rFonts w:hint="default" w:ascii="仿宋" w:hAnsi="仿宋" w:eastAsia="仿宋" w:cs="仿宋"/>
                <w:sz w:val="28"/>
                <w:szCs w:val="28"/>
              </w:rPr>
              <w:t>元</w:t>
            </w:r>
          </w:p>
          <w:p>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实缴资金：    万</w:t>
            </w:r>
            <w:r>
              <w:rPr>
                <w:rFonts w:hint="default" w:ascii="仿宋" w:hAnsi="仿宋" w:eastAsia="仿宋" w:cs="仿宋"/>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公司注册所在地</w:t>
            </w:r>
          </w:p>
        </w:tc>
        <w:tc>
          <w:tcPr>
            <w:tcW w:w="6471" w:type="dxa"/>
            <w:vAlign w:val="center"/>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（如无法在本行开户则将无法参与本行项目招标工作）</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公司法人</w:t>
            </w:r>
          </w:p>
        </w:tc>
        <w:tc>
          <w:tcPr>
            <w:tcW w:w="6471" w:type="dxa"/>
            <w:vAlign w:val="center"/>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企业性质</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i w:val="0"/>
                <w:iCs w:val="0"/>
                <w:sz w:val="28"/>
                <w:szCs w:val="28"/>
              </w:rPr>
              <w:t>国有企业/集体所有制/私营企业/中外合资企业/股份制企业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近三年年度关键财务指标</w:t>
            </w:r>
          </w:p>
        </w:tc>
        <w:tc>
          <w:tcPr>
            <w:tcW w:w="6471" w:type="dxa"/>
          </w:tcPr>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二、营业收入：</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三、净利润等财务指标：</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企业资质、认证</w:t>
            </w:r>
          </w:p>
        </w:tc>
        <w:tc>
          <w:tcPr>
            <w:tcW w:w="6471" w:type="dxa"/>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分公司名单</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公司员工数量</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***人（不含子公司人数）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联系人信息</w:t>
            </w:r>
          </w:p>
        </w:tc>
        <w:tc>
          <w:tcPr>
            <w:tcW w:w="6471" w:type="dxa"/>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姓名：</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职务：</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手机：</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邮箱地址：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经营范围</w:t>
            </w:r>
          </w:p>
        </w:tc>
        <w:tc>
          <w:tcPr>
            <w:tcW w:w="6471" w:type="dxa"/>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重大不良经营记录</w:t>
            </w:r>
          </w:p>
        </w:tc>
        <w:tc>
          <w:tcPr>
            <w:tcW w:w="6471" w:type="dxa"/>
          </w:tcPr>
          <w:p>
            <w:pPr>
              <w:spacing w:line="440" w:lineRule="exact"/>
              <w:ind w:left="0" w:leftChars="0" w:firstLine="0" w:firstLineChars="0"/>
              <w:rPr>
                <w:rFonts w:hint="eastAsia" w:ascii="仿宋" w:hAnsi="仿宋" w:eastAsia="仿宋" w:cs="仿宋"/>
                <w:color w:val="000000" w:themeColor="text1"/>
                <w:sz w:val="28"/>
                <w:szCs w:val="28"/>
                <w:lang w:val="en-GB"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简要陈述并</w:t>
            </w:r>
            <w:r>
              <w:rPr>
                <w:rFonts w:hint="eastAsia" w:ascii="仿宋" w:hAnsi="仿宋" w:eastAsia="仿宋" w:cs="仿宋"/>
                <w:color w:val="000000" w:themeColor="text1"/>
                <w:sz w:val="28"/>
                <w:szCs w:val="28"/>
                <w:lang w:val="en-GB" w:eastAsia="zh-CN"/>
                <w14:textFill>
                  <w14:solidFill>
                    <w14:schemeClr w14:val="tx1"/>
                  </w14:solidFill>
                </w14:textFill>
              </w:rPr>
              <w:t>说明公司最近三年在政府采购或金融行业采购过程中是否受到处罚。</w:t>
            </w:r>
          </w:p>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w:t>
            </w:r>
            <w:r>
              <w:rPr>
                <w:rFonts w:hint="eastAsia" w:ascii="仿宋" w:hAnsi="仿宋" w:eastAsia="仿宋" w:cs="仿宋"/>
                <w:color w:val="000000" w:themeColor="text1"/>
                <w:sz w:val="28"/>
                <w:szCs w:val="28"/>
                <w:lang w:val="en-GB" w:eastAsia="zh-CN"/>
                <w14:textFill>
                  <w14:solidFill>
                    <w14:schemeClr w14:val="tx1"/>
                  </w14:solidFill>
                </w14:textFill>
              </w:rPr>
              <w:t>违法失信、行政处罚、法律诉讼等负面信息</w:t>
            </w:r>
            <w:r>
              <w:rPr>
                <w:rFonts w:hint="eastAsia" w:ascii="仿宋" w:hAnsi="仿宋" w:eastAsia="仿宋" w:cs="仿宋"/>
                <w:color w:val="000000" w:themeColor="text1"/>
                <w:sz w:val="28"/>
                <w:szCs w:val="28"/>
                <w:lang w:val="en-US" w:eastAsia="zh-CN"/>
                <w14:textFill>
                  <w14:solidFill>
                    <w14:schemeClr w14:val="tx1"/>
                  </w14:solidFill>
                </w14:textFill>
              </w:rPr>
              <w:t>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信息安全</w:t>
            </w:r>
          </w:p>
          <w:p>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简要说明管理制度和技术措施如何保障本行信息或数据安全（提供相关制度、技术措施扫描）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业务连续性</w:t>
            </w:r>
          </w:p>
          <w:p>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简要说明业务连续性保障机制、服务响应方案（包含响应安排与服务团队介绍）（提供相关制度、服务响应方案扫描件）</w:t>
            </w:r>
          </w:p>
        </w:tc>
      </w:tr>
    </w:tbl>
    <w:p>
      <w:pPr>
        <w:keepNext w:val="0"/>
        <w:keepLines w:val="0"/>
        <w:pageBreakBefore w:val="0"/>
        <w:widowControl/>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请提供：</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14:textFill>
            <w14:solidFill>
              <w14:schemeClr w14:val="tx1"/>
            </w14:solidFill>
          </w14:textFill>
        </w:rPr>
        <w:t>公司章程（如有）</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营业执照（事业单位法人证书或类似执业许可证）</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w:t>
      </w:r>
      <w:r>
        <w:rPr>
          <w:rFonts w:hint="eastAsia" w:ascii="仿宋" w:hAnsi="仿宋" w:eastAsia="仿宋" w:cs="仿宋"/>
          <w:color w:val="000000" w:themeColor="text1"/>
          <w:sz w:val="28"/>
          <w:szCs w:val="28"/>
          <w14:textFill>
            <w14:solidFill>
              <w14:schemeClr w14:val="tx1"/>
            </w14:solidFill>
          </w14:textFill>
        </w:rPr>
        <w:t>公司法人身份证的原件扫描件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四、近三年经公司内部审核流程审定的</w:t>
      </w:r>
      <w:r>
        <w:rPr>
          <w:rFonts w:hint="eastAsia" w:ascii="仿宋" w:hAnsi="仿宋" w:eastAsia="仿宋" w:cs="仿宋"/>
          <w:color w:val="000000" w:themeColor="text1"/>
          <w:sz w:val="28"/>
          <w:szCs w:val="28"/>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28"/>
          <w:szCs w:val="28"/>
          <w:highlight w:val="none"/>
          <w:lang w:val="en-US" w:eastAsia="zh-CN"/>
          <w14:textFill>
            <w14:solidFill>
              <w14:schemeClr w14:val="tx1"/>
            </w14:solidFill>
          </w14:textFill>
        </w:rPr>
        <w:t>原件扫描件</w:t>
      </w:r>
      <w:r>
        <w:rPr>
          <w:rFonts w:hint="eastAsia" w:ascii="仿宋" w:hAnsi="仿宋" w:eastAsia="仿宋" w:cs="仿宋"/>
          <w:color w:val="000000" w:themeColor="text1"/>
          <w:sz w:val="28"/>
          <w:szCs w:val="28"/>
          <w:highlight w:val="none"/>
          <w14:textFill>
            <w14:solidFill>
              <w14:schemeClr w14:val="tx1"/>
            </w14:solidFill>
          </w14:textFill>
        </w:rPr>
        <w:t>或有效的企业资信证明材料</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五、提供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查询截图</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六、提供信息安全管理相关制度、技术措施扫描件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七、提供业务连续性管理相关制度、服务响应方案扫描件</w:t>
      </w:r>
    </w:p>
    <w:p>
      <w:pPr>
        <w:ind w:firstLine="977" w:firstLineChars="349"/>
        <w:outlineLvl w:val="1"/>
        <w:rPr>
          <w:rFonts w:hint="eastAsia" w:ascii="仿宋" w:hAnsi="仿宋" w:eastAsia="仿宋" w:cs="仿宋"/>
          <w:bCs/>
          <w:color w:val="0000FF"/>
          <w:sz w:val="28"/>
          <w:szCs w:val="28"/>
          <w:lang w:val="en-US" w:eastAsia="zh-CN"/>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第三部分 与本项目相关的案例情况</w:t>
      </w:r>
    </w:p>
    <w:p>
      <w:pPr>
        <w:outlineLvl w:val="0"/>
        <w:rPr>
          <w:rFonts w:hint="eastAsia" w:ascii="仿宋" w:hAnsi="仿宋" w:eastAsia="仿宋" w:cs="仿宋"/>
          <w:b/>
          <w:bCs/>
          <w:sz w:val="28"/>
          <w:szCs w:val="28"/>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兴业银行昆明分行关于2026年昆明市区公交车站广告投放项目</w:t>
      </w:r>
      <w:r>
        <w:rPr>
          <w:rFonts w:hint="eastAsia" w:ascii="仿宋" w:hAnsi="仿宋" w:eastAsia="仿宋" w:cs="仿宋"/>
          <w:b/>
          <w:bCs/>
          <w:sz w:val="28"/>
          <w:szCs w:val="28"/>
        </w:rPr>
        <w:t>》相关案例情况</w:t>
      </w:r>
      <w:r>
        <w:rPr>
          <w:rFonts w:hint="eastAsia" w:ascii="仿宋" w:hAnsi="仿宋" w:eastAsia="仿宋" w:cs="仿宋"/>
          <w:b/>
          <w:bCs/>
          <w:sz w:val="28"/>
          <w:szCs w:val="28"/>
          <w:lang w:eastAsia="zh-CN"/>
        </w:rPr>
        <w:t>（</w:t>
      </w:r>
      <w:r>
        <w:rPr>
          <w:rFonts w:hint="eastAsia" w:asciiTheme="minorEastAsia" w:hAnsiTheme="minorEastAsia" w:eastAsiaTheme="minorEastAsia" w:cstheme="minorEastAsia"/>
          <w:i w:val="0"/>
          <w:iCs w:val="0"/>
          <w:caps w:val="0"/>
          <w:color w:val="000000"/>
          <w:spacing w:val="0"/>
          <w:kern w:val="0"/>
          <w:sz w:val="28"/>
          <w:szCs w:val="28"/>
          <w:highlight w:val="none"/>
          <w:lang w:val="en-US" w:eastAsia="zh-CN" w:bidi="ar"/>
        </w:rPr>
        <w:t>提供2023年1月1日至今与本项目公交站台广告投放相似的成功案例共3例，其中包括与21家国内系统重要性银行总部级合作成功案例1例（须提供相关案例合同证明材料,并标示相关内容，以合同签订日期为准）</w:t>
      </w:r>
      <w:r>
        <w:rPr>
          <w:rFonts w:hint="eastAsia" w:ascii="仿宋" w:hAnsi="仿宋" w:eastAsia="仿宋" w:cs="仿宋"/>
          <w:b/>
          <w:bCs/>
          <w:sz w:val="28"/>
          <w:szCs w:val="28"/>
          <w:lang w:eastAsia="zh-CN"/>
        </w:rPr>
        <w:t>）</w:t>
      </w:r>
      <w:r>
        <w:rPr>
          <w:rFonts w:hint="eastAsia" w:ascii="仿宋" w:hAnsi="仿宋" w:eastAsia="仿宋" w:cs="仿宋"/>
          <w:b/>
          <w:bCs/>
          <w:sz w:val="28"/>
          <w:szCs w:val="28"/>
        </w:rPr>
        <w:t>：</w:t>
      </w:r>
    </w:p>
    <w:tbl>
      <w:tblPr>
        <w:tblStyle w:val="10"/>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1"/>
        <w:gridCol w:w="2313"/>
        <w:gridCol w:w="2521"/>
        <w:gridCol w:w="1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甲方</w:t>
            </w:r>
          </w:p>
        </w:tc>
        <w:tc>
          <w:tcPr>
            <w:tcW w:w="2313"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合同名称</w:t>
            </w:r>
          </w:p>
        </w:tc>
        <w:tc>
          <w:tcPr>
            <w:tcW w:w="2521"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1953"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331" w:type="dxa"/>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例：建设银行</w:t>
            </w:r>
            <w:r>
              <w:rPr>
                <w:rFonts w:hint="eastAsia" w:ascii="仿宋" w:hAnsi="仿宋" w:eastAsia="仿宋" w:cs="仿宋"/>
                <w:sz w:val="28"/>
                <w:szCs w:val="28"/>
              </w:rPr>
              <w:br w:type="textWrapping"/>
            </w:r>
            <w:r>
              <w:rPr>
                <w:rFonts w:hint="eastAsia" w:ascii="仿宋" w:hAnsi="仿宋" w:eastAsia="仿宋" w:cs="仿宋"/>
                <w:sz w:val="28"/>
                <w:szCs w:val="28"/>
              </w:rPr>
              <w:t>（甲方全称）</w:t>
            </w: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pPr>
              <w:rPr>
                <w:rFonts w:hint="eastAsia" w:ascii="仿宋" w:hAnsi="仿宋" w:eastAsia="仿宋" w:cs="仿宋"/>
                <w:sz w:val="28"/>
                <w:szCs w:val="28"/>
              </w:rPr>
            </w:pP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pPr>
              <w:rPr>
                <w:rFonts w:hint="eastAsia" w:ascii="仿宋" w:hAnsi="仿宋" w:eastAsia="仿宋" w:cs="仿宋"/>
                <w:sz w:val="28"/>
                <w:szCs w:val="28"/>
              </w:rPr>
            </w:pP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rPr>
                <w:rFonts w:hint="eastAsia" w:ascii="仿宋" w:hAnsi="仿宋" w:eastAsia="仿宋" w:cs="仿宋"/>
                <w:sz w:val="28"/>
                <w:szCs w:val="28"/>
              </w:rPr>
            </w:pPr>
          </w:p>
        </w:tc>
      </w:tr>
    </w:tbl>
    <w:p>
      <w:pPr>
        <w:rPr>
          <w:rFonts w:hint="eastAsia" w:ascii="仿宋" w:hAnsi="仿宋" w:eastAsia="仿宋" w:cs="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第四部分 详细介绍</w:t>
      </w:r>
    </w:p>
    <w:p>
      <w:pPr>
        <w:outlineLvl w:val="1"/>
        <w:rPr>
          <w:rFonts w:hint="eastAsia" w:ascii="仿宋" w:hAnsi="仿宋" w:eastAsia="仿宋" w:cs="仿宋"/>
          <w:bCs/>
          <w:sz w:val="28"/>
          <w:szCs w:val="28"/>
        </w:rPr>
      </w:pPr>
      <w:r>
        <w:rPr>
          <w:rFonts w:hint="eastAsia" w:ascii="仿宋" w:hAnsi="仿宋" w:eastAsia="仿宋" w:cs="仿宋"/>
          <w:bCs/>
          <w:sz w:val="28"/>
          <w:szCs w:val="28"/>
        </w:rPr>
        <w:t>一、公司简介</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公司全称，统一社会信用代码，公司类型，注册资本，法人代表姓名，企业网址，纳税人类型，员工数量，公司通讯地址及邮编，联系人及职务，联系人手机号码及电子邮箱地址，公司主营业务，分公司或办事处的详细地址和联系方式。</w:t>
      </w:r>
    </w:p>
    <w:p>
      <w:pPr>
        <w:pStyle w:val="14"/>
        <w:ind w:firstLine="0" w:firstLineChars="0"/>
        <w:rPr>
          <w:rFonts w:hint="eastAsia" w:ascii="仿宋" w:hAnsi="仿宋" w:eastAsia="仿宋" w:cs="仿宋"/>
          <w:bCs/>
          <w:color w:val="0000FF"/>
          <w:sz w:val="28"/>
          <w:szCs w:val="28"/>
        </w:rPr>
      </w:pPr>
    </w:p>
    <w:p>
      <w:pPr>
        <w:outlineLvl w:val="1"/>
        <w:rPr>
          <w:rFonts w:hint="eastAsia" w:ascii="仿宋" w:hAnsi="仿宋" w:eastAsia="仿宋" w:cs="仿宋"/>
          <w:bCs/>
          <w:color w:val="0000FF"/>
          <w:sz w:val="28"/>
          <w:szCs w:val="28"/>
          <w:lang w:eastAsia="zh-CN"/>
        </w:rPr>
      </w:pPr>
      <w:r>
        <w:rPr>
          <w:rFonts w:hint="eastAsia" w:ascii="仿宋" w:hAnsi="仿宋" w:eastAsia="仿宋" w:cs="仿宋"/>
          <w:bCs/>
          <w:sz w:val="28"/>
          <w:szCs w:val="28"/>
        </w:rPr>
        <w:t>二、公司资质、认证等材料</w:t>
      </w:r>
      <w:r>
        <w:rPr>
          <w:rFonts w:hint="eastAsia" w:ascii="仿宋" w:hAnsi="仿宋" w:eastAsia="仿宋" w:cs="仿宋"/>
          <w:bCs/>
          <w:color w:val="000000" w:themeColor="text1"/>
          <w:sz w:val="28"/>
          <w:szCs w:val="28"/>
          <w:lang w:eastAsia="zh-CN"/>
          <w14:textFill>
            <w14:solidFill>
              <w14:schemeClr w14:val="tx1"/>
            </w14:solidFill>
          </w14:textFill>
        </w:rPr>
        <w:t>（</w:t>
      </w:r>
      <w:r>
        <w:rPr>
          <w:rFonts w:hint="eastAsia" w:ascii="仿宋" w:hAnsi="仿宋" w:eastAsia="仿宋" w:cs="仿宋"/>
          <w:bCs/>
          <w:color w:val="000000" w:themeColor="text1"/>
          <w:sz w:val="28"/>
          <w:szCs w:val="28"/>
          <w:lang w:val="en-US" w:eastAsia="zh-CN"/>
          <w14:textFill>
            <w14:solidFill>
              <w14:schemeClr w14:val="tx1"/>
            </w14:solidFill>
          </w14:textFill>
        </w:rPr>
        <w:t>扫描件</w:t>
      </w:r>
      <w:r>
        <w:rPr>
          <w:rFonts w:hint="eastAsia" w:ascii="仿宋" w:hAnsi="仿宋" w:eastAsia="仿宋" w:cs="仿宋"/>
          <w:bCs/>
          <w:color w:val="000000" w:themeColor="text1"/>
          <w:sz w:val="28"/>
          <w:szCs w:val="28"/>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包括但不限于：行业资质认证（</w:t>
      </w:r>
      <w:r>
        <w:rPr>
          <w:rFonts w:hint="eastAsia" w:ascii="仿宋" w:hAnsi="仿宋" w:eastAsia="仿宋" w:cs="仿宋"/>
          <w:sz w:val="28"/>
          <w:szCs w:val="28"/>
          <w:lang w:val="en-US" w:eastAsia="zh-CN"/>
        </w:rPr>
        <w:t>拥有昆明市区相关主干道公交车站广告投放相关授权证明）。</w:t>
      </w:r>
    </w:p>
    <w:p>
      <w:pPr>
        <w:numPr>
          <w:ilvl w:val="0"/>
          <w:numId w:val="1"/>
        </w:numPr>
        <w:outlineLvl w:val="1"/>
        <w:rPr>
          <w:rFonts w:hint="eastAsia" w:ascii="仿宋" w:hAnsi="仿宋" w:eastAsia="仿宋" w:cs="仿宋"/>
          <w:bCs/>
          <w:sz w:val="28"/>
          <w:szCs w:val="28"/>
        </w:rPr>
      </w:pPr>
      <w:r>
        <w:rPr>
          <w:rFonts w:hint="eastAsia" w:ascii="仿宋" w:hAnsi="仿宋" w:eastAsia="仿宋" w:cs="仿宋"/>
          <w:bCs/>
          <w:sz w:val="28"/>
          <w:szCs w:val="28"/>
        </w:rPr>
        <w:t>服务案例证明材料</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提供与兴业银行近两年采购合作情况，并说明是否在与兴业银行的历史合作期间出现违约或严重过失行为的情况说明。</w:t>
      </w:r>
    </w:p>
    <w:tbl>
      <w:tblPr>
        <w:tblStyle w:val="9"/>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1691"/>
        <w:gridCol w:w="1265"/>
        <w:gridCol w:w="1233"/>
        <w:gridCol w:w="1276"/>
        <w:gridCol w:w="21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与兴业银行合作情况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与兴业银行历史合作期间出现违约或严重过失行为的情况说明（不限于近五年）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rPr>
                <w:rFonts w:hint="eastAsia" w:ascii="仿宋" w:hAnsi="仿宋" w:eastAsia="仿宋" w:cs="仿宋"/>
                <w:i w:val="0"/>
                <w:iCs w:val="0"/>
                <w:color w:val="000000"/>
                <w:sz w:val="28"/>
                <w:szCs w:val="28"/>
                <w:u w:val="none"/>
              </w:rPr>
            </w:pPr>
          </w:p>
        </w:tc>
      </w:tr>
    </w:tbl>
    <w:p>
      <w:pPr>
        <w:rPr>
          <w:rFonts w:hint="eastAsia" w:ascii="仿宋" w:hAnsi="仿宋" w:eastAsia="仿宋" w:cs="仿宋"/>
          <w:sz w:val="32"/>
          <w:szCs w:val="32"/>
        </w:rPr>
      </w:pPr>
    </w:p>
    <w:p>
      <w:pPr>
        <w:pStyle w:val="2"/>
        <w:rPr>
          <w:rFonts w:hint="eastAsia" w:ascii="仿宋" w:hAnsi="仿宋" w:eastAsia="仿宋" w:cs="仿宋"/>
          <w:sz w:val="32"/>
          <w:szCs w:val="32"/>
        </w:rPr>
      </w:pPr>
    </w:p>
    <w:p>
      <w:pPr>
        <w:pStyle w:val="4"/>
        <w:rPr>
          <w:rFonts w:hint="eastAsia" w:ascii="仿宋" w:hAnsi="仿宋" w:eastAsia="仿宋" w:cs="仿宋"/>
          <w:sz w:val="32"/>
          <w:szCs w:val="32"/>
        </w:rPr>
      </w:pPr>
    </w:p>
    <w:p>
      <w:pPr>
        <w:pStyle w:val="4"/>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粗仿宋">
    <w:altName w:val="Arial Unicode MS"/>
    <w:panose1 w:val="00000000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EFE13"/>
    <w:multiLevelType w:val="singleLevel"/>
    <w:tmpl w:val="F69EFE1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146BB8"/>
    <w:rsid w:val="392B301B"/>
    <w:rsid w:val="3BBD5C7E"/>
    <w:rsid w:val="3FB90D14"/>
    <w:rsid w:val="4A454C3E"/>
    <w:rsid w:val="4D8916D9"/>
    <w:rsid w:val="4DDBADE3"/>
    <w:rsid w:val="67CF4D21"/>
    <w:rsid w:val="67EB414E"/>
    <w:rsid w:val="69295A8E"/>
    <w:rsid w:val="6FCFBA25"/>
    <w:rsid w:val="702A36A3"/>
    <w:rsid w:val="706220DA"/>
    <w:rsid w:val="7F7F93E8"/>
    <w:rsid w:val="875FC1CD"/>
    <w:rsid w:val="BFAF796D"/>
    <w:rsid w:val="EFBD9B60"/>
    <w:rsid w:val="FB5970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彩虹粗仿宋" w:hAnsi="彩虹粗仿宋" w:eastAsia="彩虹粗仿宋" w:cs="Times New Roman"/>
      <w:kern w:val="2"/>
      <w:sz w:val="32"/>
      <w:szCs w:val="2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tabs>
        <w:tab w:val="left" w:pos="992"/>
      </w:tabs>
      <w:spacing w:line="240" w:lineRule="auto"/>
      <w:ind w:firstLine="200" w:firstLineChars="200"/>
    </w:pPr>
    <w:rPr>
      <w:rFonts w:ascii="宋体" w:hAnsi="宋体"/>
      <w:sz w:val="2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0">
    <w:name w:val="Table Grid"/>
    <w:basedOn w:val="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character" w:styleId="13">
    <w:name w:val="footnote reference"/>
    <w:basedOn w:val="11"/>
    <w:qFormat/>
    <w:uiPriority w:val="0"/>
    <w:rPr>
      <w:rFonts w:ascii="仿宋_GB2312" w:hAnsi="仿宋"/>
      <w:bCs/>
      <w:color w:val="000000"/>
      <w:szCs w:val="28"/>
      <w:vertAlign w:val="superscript"/>
    </w:rPr>
  </w:style>
  <w:style w:type="paragraph" w:styleId="14">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0</Words>
  <Characters>0</Characters>
  <Lines>0</Lines>
  <Paragraphs>0</Paragraphs>
  <TotalTime>13</TotalTime>
  <ScaleCrop>false</ScaleCrop>
  <LinksUpToDate>false</LinksUpToDate>
  <CharactersWithSpaces>0</CharactersWithSpaces>
  <Application>WPS Office_11.8.2.10164_F1E327BC-269C-435d-A152-05C5408002CA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2024-05-07T10:47:00Z</dcterms:created>
  <dc:creator>cib</dc:creator>
  <cp:lastModifiedBy>段玉梅</cp:lastModifiedBy>
  <dcterms:modified xsi:type="dcterms:W3CDTF">2026-09-14T07:47:09Z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DSMMark">
    <vt:i4>0</vt:i4>
  </property>
  <property fmtid="{D5CDD505-2E9C-101B-9397-08002B2CF9AE}" pid="4" name="ICV">
    <vt:lpwstr>33EBC9F0EF632C5510A3A76A7CE33BE3_43</vt:lpwstr>
  </property>
</Properties>
</file>