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B7E57">
      <w:pPr>
        <w:pStyle w:val="3"/>
        <w:bidi w:val="0"/>
        <w:ind w:left="0" w:leftChars="0" w:firstLine="0" w:firstLineChars="0"/>
        <w:rPr>
          <w:rFonts w:hint="default"/>
          <w:lang w:val="en-US" w:eastAsia="zh-CN"/>
        </w:rPr>
      </w:pPr>
      <w:r>
        <w:rPr>
          <w:rFonts w:hint="eastAsia"/>
          <w:lang w:val="en-US" w:eastAsia="zh-CN"/>
        </w:rPr>
        <w:t>附表1：</w:t>
      </w:r>
      <w:r>
        <w:rPr>
          <w:rFonts w:hint="eastAsia"/>
          <w:lang w:eastAsia="zh-CN"/>
        </w:rPr>
        <w:t>临沧市2026年度市级政务信息化服务项目</w:t>
      </w:r>
      <w:r>
        <w:rPr>
          <w:rFonts w:hint="eastAsia"/>
          <w:lang w:val="en-US" w:eastAsia="zh-CN"/>
        </w:rPr>
        <w:t>软件服务</w:t>
      </w:r>
      <w:r>
        <w:t>需求</w:t>
      </w:r>
      <w:r>
        <w:rPr>
          <w:rFonts w:hint="eastAsia"/>
          <w:lang w:val="en-US" w:eastAsia="zh-CN"/>
        </w:rPr>
        <w:t>统计表：</w:t>
      </w:r>
    </w:p>
    <w:tbl>
      <w:tblPr>
        <w:tblStyle w:val="4"/>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0"/>
        <w:gridCol w:w="1719"/>
        <w:gridCol w:w="1927"/>
        <w:gridCol w:w="4053"/>
      </w:tblGrid>
      <w:tr w14:paraId="36ED1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blHeader/>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15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序号 </w:t>
            </w:r>
          </w:p>
        </w:tc>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87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软件服务名称</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EB56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服务内容</w:t>
            </w:r>
          </w:p>
        </w:tc>
        <w:tc>
          <w:tcPr>
            <w:tcW w:w="23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7B7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服务需求概述</w:t>
            </w:r>
          </w:p>
        </w:tc>
      </w:tr>
      <w:tr w14:paraId="53ECF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17C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DAB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临沧市投资审批项目交易管理平台服务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1AB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临沧市投资审批项目交易管理平台服务</w:t>
            </w:r>
          </w:p>
        </w:tc>
        <w:tc>
          <w:tcPr>
            <w:tcW w:w="2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7C8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围绕投资审批项目交易全流程管理，构建基础管理、项目管理和系统监控三大功能模块。基础管理模块提供用户、角色、部门的层级化权限管理，支持对接统一身份认证，并完整记录操作日志与登录日志，保障平台运行可追溯。项目管理模块对应进未进（未开工/已开工）、应进已进、非应进必进项等四类项目实行清单化管理，涵盖项目名称、审批部门、实施单位等关键信息，支持项目状态跟踪、进度填报与自动同步、项目分类归档及审批流程可视化。系统监控模块实时展示在线</w:t>
            </w:r>
            <w:bookmarkStart w:id="0" w:name="_GoBack"/>
            <w:bookmarkEnd w:id="0"/>
            <w:r>
              <w:rPr>
                <w:rFonts w:hint="eastAsia" w:ascii="宋体" w:hAnsi="宋体" w:eastAsia="宋体" w:cs="宋体"/>
                <w:i w:val="0"/>
                <w:iCs w:val="0"/>
                <w:color w:val="000000"/>
                <w:kern w:val="0"/>
                <w:sz w:val="24"/>
                <w:szCs w:val="24"/>
                <w:u w:val="none"/>
                <w:lang w:val="en-US" w:eastAsia="zh-CN" w:bidi="ar"/>
              </w:rPr>
              <w:t>人数、服务器CPU/内存负载及存储空间使用情况，支持异常状态自动告警，确保平台稳定运行</w:t>
            </w:r>
          </w:p>
        </w:tc>
      </w:tr>
      <w:tr w14:paraId="75DBF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B7C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88D6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"临沧政务服务"微信服务号服务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9DF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"临沧政务服务"微信服务号服务</w:t>
            </w:r>
          </w:p>
        </w:tc>
        <w:tc>
          <w:tcPr>
            <w:tcW w:w="2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1F97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以微信服务号为载体，面向办事群众和大厅管理人员提供线上线下一体化政务服务，功能覆盖政务服务办理、帮办代办、信息发布、智能问答、大厅管理及系统对接等领域细化服务</w:t>
            </w:r>
          </w:p>
        </w:tc>
      </w:tr>
      <w:tr w14:paraId="3948E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9" w:hRule="atLeast"/>
        </w:trPr>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D59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B7BA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数据中台服务</w:t>
            </w: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0DE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数据中台服务</w:t>
            </w:r>
          </w:p>
        </w:tc>
        <w:tc>
          <w:tcPr>
            <w:tcW w:w="2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008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供全市数据资源汇聚、治理、服务与共享的数据中台服务，涵盖大数据基础平台、数据探查、数据集成、离线开发、实时开发、元数据管理、数据标准、数据质量、数据模型、数据服务开发、资产目录管理、数据交换、供需对接、数据直通、数据安全、数据服务门户及公共模块等子系统服务，形成从数据接入到数据应用的全链路能力</w:t>
            </w:r>
          </w:p>
        </w:tc>
      </w:tr>
      <w:tr w14:paraId="3FC41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0" w:hRule="atLeast"/>
        </w:trPr>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BAA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00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FD2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经济运行分析平台服务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A944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经济运行监测分析平台（宏观）服务</w:t>
            </w:r>
          </w:p>
        </w:tc>
        <w:tc>
          <w:tcPr>
            <w:tcW w:w="2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5F3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向全市宏观经济运行监测，提供经济调度分析、经济指标分析、财政指标分析、金融指标分析、行业发展管理及大屏可视化六大功能。经济调度分析工具自动生成全市26项核心经济指标完成情况表、GDP核算49项基础指标表、全国全省及各州市对比表、各县区对比表，并支持指标穿透式归因分析。经济指标分析覆盖本地GDP（总量、分产业、分行业、增长目标）、全省各市GDP结构及三次产业对比、同类型城市经济数据与行业数据历年对比。财政指标分析围绕一般公共预算收支、税收收入、非税收入的结构与趋势展开，涵盖地方税种排名及非税收入分项分析。金融指标分析从行业贷款余额、县市区GDP与金融税收对比、金融机构存贷款占比三个维度监测金融运行。行业发展管理实时监测各行业核心运营指标，分析三次产业结构变动及对GDP增长的贡献率。大屏展示分别从经济、财政、税收三个维度进行数据可视化呈现</w:t>
            </w:r>
          </w:p>
        </w:tc>
      </w:tr>
      <w:tr w14:paraId="2F970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B3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DD4A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6E99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产业分析平台（中观）服务</w:t>
            </w:r>
          </w:p>
        </w:tc>
        <w:tc>
          <w:tcPr>
            <w:tcW w:w="2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B1B0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聚焦产业链分析与企业培育，包含产业链分析、企升规管理和个转企管理三大模块。产业链分析以GIS产业地图展示产业空间布局，以链条图管理各产业链上中下游企业构成，从企业数量、产值、利润、研发投入等维度分析产业链现状，开展产业能级梯队评价，绘制行业图谱，并按产业链归集税收与营收数据，最终基于短板识别智能推荐补链延链强链招商目标企业。企升规管理建设规模以上企业筛选模型，对储备库（成长培育期）、正常库（已达标入库）、退出库企业实行分级管理，跟踪企业历史成长数据，制定个性化培育计划，并从税收、营收、利润、用工、能耗等维度生成企业质量画像。个转企管理建设个体工商户转企筛查模型，管理具备转企潜力的培育库，跟踪经营指标变化与转型进度，评估培育成效</w:t>
            </w:r>
          </w:p>
        </w:tc>
      </w:tr>
      <w:tr w14:paraId="08B79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0" w:hRule="atLeast"/>
        </w:trPr>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08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80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DB19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财源分析平台（微观）服务</w:t>
            </w:r>
          </w:p>
        </w:tc>
        <w:tc>
          <w:tcPr>
            <w:tcW w:w="2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52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面向税源精细化管理服务，提供税基比对、税收指标分析、税源分析预警和企业画像管理四大功能服务。</w:t>
            </w:r>
            <w:r>
              <w:rPr>
                <w:rStyle w:val="6"/>
                <w:sz w:val="24"/>
                <w:szCs w:val="24"/>
                <w:lang w:val="en-US" w:eastAsia="zh-CN" w:bidi="ar"/>
              </w:rPr>
              <w:t>税基比对分析</w:t>
            </w:r>
            <w:r>
              <w:rPr>
                <w:rStyle w:val="7"/>
                <w:sz w:val="24"/>
                <w:szCs w:val="24"/>
                <w:lang w:val="en-US" w:eastAsia="zh-CN" w:bidi="ar"/>
              </w:rPr>
              <w:t>通过房产税、城镇土地使用税缴纳户数与市场主体数量占比分析税收缴纳空间，并按行业统计税收充盈度。</w:t>
            </w:r>
            <w:r>
              <w:rPr>
                <w:rStyle w:val="6"/>
                <w:sz w:val="24"/>
                <w:szCs w:val="24"/>
                <w:lang w:val="en-US" w:eastAsia="zh-CN" w:bidi="ar"/>
              </w:rPr>
              <w:t>税收指标分析</w:t>
            </w:r>
            <w:r>
              <w:rPr>
                <w:rStyle w:val="7"/>
                <w:sz w:val="24"/>
                <w:szCs w:val="24"/>
                <w:lang w:val="en-US" w:eastAsia="zh-CN" w:bidi="ar"/>
              </w:rPr>
              <w:t>从分税种、分行业、分区域三个维度进行结构、趋势、排名及穿透分析，涵盖新增税源（趋势/地区/行业/注册类型）、企业纳税规模分级（50万以下至1亿以上共11档）、纳税排名、成长税源增减排名，以及招商企业、拿地企业、高新企业、专精特新企业等专项税收分析。</w:t>
            </w:r>
            <w:r>
              <w:rPr>
                <w:rStyle w:val="6"/>
                <w:sz w:val="24"/>
                <w:szCs w:val="24"/>
                <w:lang w:val="en-US" w:eastAsia="zh-CN" w:bidi="ar"/>
              </w:rPr>
              <w:t>税源分析预警</w:t>
            </w:r>
            <w:r>
              <w:rPr>
                <w:rStyle w:val="7"/>
                <w:sz w:val="24"/>
                <w:szCs w:val="24"/>
                <w:lang w:val="en-US" w:eastAsia="zh-CN" w:bidi="ar"/>
              </w:rPr>
              <w:t>针对建筑施工、房地产、物业服务、商砼生产、车辆检测、驾校培训、药店零售、酒店住宿、餐饮服务、工业企业（电/水/气）、矿产、房土两税、耕地占用税、契税、资源税、印花税等行业/税种建立预警模型，通过业务数据（施工许可、网签、用电、用气、检测量、发证人数、刷卡金额、住宿人次、产量等）与实际缴税数据比对，测算预计营收、应缴税额与已缴税额差额，识别税收风险并预计可增收额，配套风险库管理形成推送反馈闭环。</w:t>
            </w:r>
            <w:r>
              <w:rPr>
                <w:rStyle w:val="6"/>
                <w:sz w:val="24"/>
                <w:szCs w:val="24"/>
                <w:lang w:val="en-US" w:eastAsia="zh-CN" w:bidi="ar"/>
              </w:rPr>
              <w:t>企业画像管理</w:t>
            </w:r>
            <w:r>
              <w:rPr>
                <w:rStyle w:val="7"/>
                <w:sz w:val="24"/>
                <w:szCs w:val="24"/>
                <w:lang w:val="en-US" w:eastAsia="zh-CN" w:bidi="ar"/>
              </w:rPr>
              <w:t>提供纳税人一户式查询，整合企业基本信息、许可信息、公共缴费（社保/公积金/水电气）、经营信息、行政处罚及画像分析，并支持企业分年月、分税种、分行业、分区域税收查询及税收入库批量查询</w:t>
            </w:r>
          </w:p>
        </w:tc>
      </w:tr>
      <w:tr w14:paraId="52A59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D5F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7C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1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CE7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分析报告服务</w:t>
            </w:r>
          </w:p>
        </w:tc>
        <w:tc>
          <w:tcPr>
            <w:tcW w:w="2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6C3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定期输出四类专业化分析报告，为决策提供支撑。</w:t>
            </w:r>
            <w:r>
              <w:rPr>
                <w:rStyle w:val="6"/>
                <w:sz w:val="24"/>
                <w:szCs w:val="24"/>
                <w:lang w:val="en-US" w:eastAsia="zh-CN" w:bidi="ar"/>
              </w:rPr>
              <w:t>经济运行分析报告</w:t>
            </w:r>
            <w:r>
              <w:rPr>
                <w:rStyle w:val="7"/>
                <w:sz w:val="24"/>
                <w:szCs w:val="24"/>
                <w:lang w:val="en-US" w:eastAsia="zh-CN" w:bidi="ar"/>
              </w:rPr>
              <w:t>围绕GDP核算等核心指标，按月度/季度输出宏观经济运行态势分析，涵盖增速趋势、产业结构变动、区域对比与短板预警。</w:t>
            </w:r>
            <w:r>
              <w:rPr>
                <w:rStyle w:val="6"/>
                <w:sz w:val="24"/>
                <w:szCs w:val="24"/>
                <w:lang w:val="en-US" w:eastAsia="zh-CN" w:bidi="ar"/>
              </w:rPr>
              <w:t>产业发展分析报告</w:t>
            </w:r>
            <w:r>
              <w:rPr>
                <w:rStyle w:val="7"/>
                <w:sz w:val="24"/>
                <w:szCs w:val="24"/>
                <w:lang w:val="en-US" w:eastAsia="zh-CN" w:bidi="ar"/>
              </w:rPr>
              <w:t>聚焦重点产业链，输出上中下游环节诊断、企业分层画像与补链强链延链策略，结合企升规/个转企培育进展指引产业招商与政策倾斜。</w:t>
            </w:r>
            <w:r>
              <w:rPr>
                <w:rStyle w:val="6"/>
                <w:sz w:val="24"/>
                <w:szCs w:val="24"/>
                <w:lang w:val="en-US" w:eastAsia="zh-CN" w:bidi="ar"/>
              </w:rPr>
              <w:t>收入研判分析报告</w:t>
            </w:r>
            <w:r>
              <w:rPr>
                <w:rStyle w:val="7"/>
                <w:sz w:val="24"/>
                <w:szCs w:val="24"/>
                <w:lang w:val="en-US" w:eastAsia="zh-CN" w:bidi="ar"/>
              </w:rPr>
              <w:t>基于税收监测与预警指标，穿透行业—税种—企业三级结构，掌握收入家底。</w:t>
            </w:r>
            <w:r>
              <w:rPr>
                <w:rStyle w:val="6"/>
                <w:sz w:val="24"/>
                <w:szCs w:val="24"/>
                <w:lang w:val="en-US" w:eastAsia="zh-CN" w:bidi="ar"/>
              </w:rPr>
              <w:t>财源收入增长点报告</w:t>
            </w:r>
            <w:r>
              <w:rPr>
                <w:rStyle w:val="7"/>
                <w:sz w:val="24"/>
                <w:szCs w:val="24"/>
                <w:lang w:val="en-US" w:eastAsia="zh-CN" w:bidi="ar"/>
              </w:rPr>
              <w:t>挖掘存量财源潜力与增量增长点，根据行业与税种预警模型量化估算各区县、各行业增收空间，辅助财政组织收入工作。</w:t>
            </w:r>
          </w:p>
        </w:tc>
      </w:tr>
    </w:tbl>
    <w:p w14:paraId="6FA1D7FC">
      <w:pPr>
        <w:ind w:left="0" w:leftChars="0" w:firstLine="0" w:firstLineChars="0"/>
        <w:rPr>
          <w:rFonts w:ascii="Segoe UI Emoji" w:hAnsi="Segoe UI Emoji" w:eastAsia="Segoe UI Emoji" w:cs="Segoe UI Emoji"/>
          <w:i w:val="0"/>
          <w:iCs w:val="0"/>
          <w:caps w:val="0"/>
          <w:color w:val="000000"/>
          <w:spacing w:val="0"/>
          <w:sz w:val="16"/>
          <w:szCs w:val="16"/>
        </w:rPr>
      </w:pPr>
    </w:p>
    <w:p w14:paraId="6E790824">
      <w:pPr>
        <w:rPr>
          <w:rFonts w:hint="eastAsia"/>
          <w:lang w:val="en-US" w:eastAsia="zh-CN"/>
        </w:rPr>
      </w:pPr>
      <w:r>
        <w:rPr>
          <w:rFonts w:hint="eastAsia"/>
          <w:lang w:val="en-US" w:eastAsia="zh-CN"/>
        </w:rPr>
        <w:br w:type="page"/>
      </w:r>
    </w:p>
    <w:p w14:paraId="31F57BD0">
      <w:pPr>
        <w:pStyle w:val="3"/>
        <w:bidi w:val="0"/>
        <w:ind w:left="0" w:leftChars="0" w:firstLine="0" w:firstLineChars="0"/>
        <w:rPr>
          <w:rFonts w:hint="eastAsia"/>
          <w:lang w:val="en-US" w:eastAsia="zh-CN"/>
        </w:rPr>
      </w:pPr>
      <w:r>
        <w:rPr>
          <w:rFonts w:hint="eastAsia"/>
          <w:lang w:val="en-US" w:eastAsia="zh-CN"/>
        </w:rPr>
        <w:t>附表2：</w:t>
      </w:r>
      <w:r>
        <w:rPr>
          <w:rFonts w:hint="eastAsia"/>
          <w:lang w:eastAsia="zh-CN"/>
        </w:rPr>
        <w:t>临沧市2026年度市级政务信息化服务项目</w:t>
      </w:r>
      <w:r>
        <w:rPr>
          <w:rFonts w:hint="eastAsia"/>
          <w:lang w:val="en-US" w:eastAsia="zh-CN"/>
        </w:rPr>
        <w:t>硬件服务</w:t>
      </w:r>
      <w:r>
        <w:t>需求</w:t>
      </w:r>
      <w:r>
        <w:rPr>
          <w:rFonts w:hint="eastAsia"/>
          <w:lang w:val="en-US" w:eastAsia="zh-CN"/>
        </w:rPr>
        <w:t>统计表：</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730"/>
        <w:gridCol w:w="4563"/>
        <w:gridCol w:w="719"/>
        <w:gridCol w:w="754"/>
      </w:tblGrid>
      <w:tr w14:paraId="63D5E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blHeader/>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C2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FE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设备名称</w:t>
            </w:r>
          </w:p>
        </w:tc>
        <w:tc>
          <w:tcPr>
            <w:tcW w:w="2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A63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技术要求</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AE4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F1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16DB3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3A3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w:t>
            </w:r>
            <w:r>
              <w:rPr>
                <w:rFonts w:hint="eastAsia" w:ascii="宋体" w:hAnsi="宋体" w:eastAsia="宋体" w:cs="宋体"/>
                <w:b/>
                <w:bCs/>
                <w:i w:val="0"/>
                <w:iCs w:val="0"/>
                <w:color w:val="000000"/>
                <w:kern w:val="0"/>
                <w:sz w:val="24"/>
                <w:szCs w:val="24"/>
                <w:u w:val="none"/>
                <w:lang w:val="en-US" w:eastAsia="zh-CN" w:bidi="ar"/>
              </w:rPr>
              <w:t>临沧市防震减灾信息中心基础设施服务</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0A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43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18784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AF6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710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交换机设备服务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E6D2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三层可网管交换机，48个10/100/1000BASE-T电口，6个10G SFP+光口，出厂自带双电源，自带多风扇；交换容量672Gbps/6.72Tbps，包转发率207Mpps/260Mpps，外形尺寸（宽×深×高，单位：mm）440×260×44，支持IPv4静态路由、RIP、OSPF;支持IPv6静态路由、OSPFv3及加密；交换机电口及SFP+光口均支持路由模式。</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BF8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02E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1F936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0A3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7808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固定工作站设备服务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4DB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电脑主机( 32G 1TSSD)+定制23.8英寸显示器，CPU性能不低于i5-14500。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A02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F4E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r>
      <w:tr w14:paraId="66E4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CC15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F17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液晶电视设备服务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E1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液晶电视机65英寸 Mini LED 3200nits 1792分区 4GB+64GB </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92A0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954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443E1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B18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BB4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LED显示屏服务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724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尺寸（1.28x2.24米）Q2.5全彩LED显示屏，点中心距为2.5mm，像素密度达160000点/㎡，采用320×160×15mm标准单元板规格，单块单元板对应分辨率为128×64。</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91B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1C9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E838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A6F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89B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一体化打印复印机设备服务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354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一体打印复印机：每分钟可打印31页左右，自动双面进稿器；带有线网络打印；双纸盒；分辨率600×600dpi；带自动双面扫描功能。</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FEF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21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F05C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EAE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E652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彩色数码多功能打印机设备服务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929D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1、彩色数码多功能一体机，涵盖功能：打印、复印、扫描, 处理器不低于800MHz+133 MHz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2、液晶显示屏：3.5英寸彩色液晶触摸屏, 自动进搞器ADF: 50页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3、打印速度：26页/分钟，黑彩同速，自动双面打印10面/分钟，月打印负荷4万页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4、打印分辨率：物理分辨率：600*600 dpi；可达分辨率：2,400dpi(600*2400) quality</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5、打印语言：PCL5e、PCL5c、PCL6, BR-Script3, PDF Version 1.7, XPS Version 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6、首页打印输出时间黑白彩色：少于13.5秒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7、内存：≥512MB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8、接口：高速USB2.0; 10Base-T/100Base-TX/1000Base-T、支持2.4G/5G无线网络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9、复印速度：26页/分钟，黑彩同速，复印分辨率:600* 600dpi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10、扫描速度：黑白27ipm，彩色21ipm，扫描分辨率（光学）：1200 *1200dpi（平板扫描）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11、标准纸盒输入量：250页，纸张输出：150页（面朝下）+进纸托板1页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12、介质类型：介质类型: 普通纸，薄纸，厚纸，再生纸，标签，信封，光面纸，铜版纸（60-163g/m2），尺寸：A4/A5/B5/A6/16K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13、耗材类型：鼓粉分离设计,随机粉盒黑色1000页，彩色1000页；硒鼓寿命：20,000页</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14、支持操作系统：国产统信UOS、国产麒麟OS、Windows、Mac等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15、支持仅黑白打印、Mobile connect/Air print、远程打印、静音模式打印、加密打印、安全功能锁、红头文件打印168种红色可供选择</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A645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96A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6A57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6077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2"/>
                <w:szCs w:val="22"/>
                <w:u w:val="none"/>
              </w:rPr>
            </w:pP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E4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打印机设备服务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809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‌噪音水平‌：打印 ‌50 dB(A)‌，待机 ‌33 dB(A)‌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电源与功耗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‌电源要求‌：AC 220–240 V，50/60 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‌功耗‌：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打印：‌510 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待机：‌6.6 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睡眠：‌1.1 W</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0C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C7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C103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42F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5100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CCFE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3匹柜机，一级能效节能变频立式冷暖35/72E2-1 支持 WIFI联网</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BD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65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D435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B31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D798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机柜设备服务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21E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42U标准机柜</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805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4A1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07CC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A75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5E2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00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1.本项目要求采用在线式双变换高频型UPS，单进单出，容量不低于3kVA/2.4KW，额定输出功率因数应≥0.8。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2.输出额定电压应220/230/240VAC可调。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3.输出为额定阻性负载时，输入电压范围应不小于：176~264VAC。</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4.输入功率因数≥0.99（100%、50%、30%非线性负载时）。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5.输入电流谐波成份：100％额定非线性负载≤4.7%，50％额定非线性负载≤6.5%，30％额定非线性负载≤10.6%，投标时提供本项目UPS主机同规格的泰尔认证证书、同系列的第三方检验报告。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6.系统效率：100%阻性负载≥94.8%，50%阻性负载≥94.9%，30%阻性负载≥93.9%，投标时提供本项目UPS主机同规格的泰尔认证证书、同系列的第三方检验报告。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7.UPS主机具备各种保护与报警功能，包括：输出短路保护、输出过载保护、过温度保护、电池电压低保护、输出过欠压保护、风扇故障告警等，并具备防雷保护功能。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8.应具备无电池开机功能：UPS主机在没有接入电池组或者电池组故障时，可直接通过市电直接开机。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应具备直流冷启动功能：UPS主机在没有接入市电时，可通过蓄电池组直接开机。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87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D00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07C2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7D5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A5F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移动工作站设备服务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D66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内存容量：16GB，硬盘容量：512GB</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869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D42E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6038D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C91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7B16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平板电脑设备服务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A951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处理器主频 ：2×Prime4.6GHz+6×Performance 3.62GHz，内置GPU ，运行内存：12GB,存储容量 256GB。</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AC1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E13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937C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F187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2"/>
                <w:szCs w:val="22"/>
                <w:u w:val="none"/>
              </w:rPr>
            </w:pPr>
          </w:p>
        </w:tc>
        <w:tc>
          <w:tcPr>
            <w:tcW w:w="10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13D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7A83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内存容量：128GB，功能特点：支持播放音频 支持屏幕手写 内置阅读灯 自定义字体。</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99F5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73FE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2C0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1AC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FD1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移动工作站设备服务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FF6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32G内存 1T固态 ，CPU性能不低于Ultra7-255U。</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618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CDA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FFAC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A276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25C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相机设备服务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33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电池类型锂离子，支持电池外接电源，外接电源传感器类型CMOS，高清摄像4K超高清视频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接口Wi-Fi 蓝牙 HDMI有效像素2420万液晶屏类型侧翻屏标准ISO感光度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ISO 100-32000连拍速度高速连拍+：最高约15张/秒（电子快门），最高约12张/秒（电子前帘快门）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存储介质SD卡 SDHC卡 SDXC卡传感器尺寸APS-C像素2000-3000万RAW照片输出14bit镜头卡口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佳能RF卡口视频采样4:2:2视频拍摄能力4K 30P适用对象入门级适用场景人物摄影 静物拍摄 美颜拍摄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类型单镜头套装功能K视频 高速连拍 Wi-Fi滤镜直径49mmEOS R50机身（黑色）*1 电池充电器LC-E17C（含电源线）*1 锂电池LP-E17*1 相机背带*1 RF-S18-45mm F4.5-6.3 IS STM（黑色）*1 套装及礼包*1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900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AD9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0475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E4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13F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技术服务费</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BB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运维保障，维保期内为采购方免费提供以太网线、低压配电线、理线架等零星耗材。如期限内总计金额超出5000元的，另行支付</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577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DF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C98A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F7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二、临沧市政务服务管理局中心硬件采购清单</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B7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4"/>
                <w:szCs w:val="24"/>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6F7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4"/>
                <w:szCs w:val="24"/>
                <w:u w:val="none"/>
              </w:rPr>
            </w:pPr>
          </w:p>
        </w:tc>
      </w:tr>
      <w:tr w14:paraId="29822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135" w:type="pct"/>
            <w:gridSpan w:val="3"/>
            <w:tcBorders>
              <w:top w:val="nil"/>
              <w:left w:val="single" w:color="000000" w:sz="4" w:space="0"/>
              <w:bottom w:val="single" w:color="000000" w:sz="4" w:space="0"/>
              <w:right w:val="single" w:color="000000" w:sz="4" w:space="0"/>
            </w:tcBorders>
            <w:shd w:val="clear" w:color="auto" w:fill="FFFFFF"/>
            <w:noWrap/>
            <w:vAlign w:val="center"/>
          </w:tcPr>
          <w:p w14:paraId="6A5B2B8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1、政务服务大厅视频监控</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993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8"/>
                <w:szCs w:val="2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2C7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8"/>
                <w:szCs w:val="28"/>
                <w:u w:val="none"/>
              </w:rPr>
            </w:pPr>
          </w:p>
        </w:tc>
      </w:tr>
      <w:tr w14:paraId="2B8A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3397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EB5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高清智能摄像机设备服务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829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1.具有不小于1/1.8"靶面尺寸。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2.内置GPU芯片。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3.最低照度彩色不大于0.002 lx，黑白不大于0.0002 lx。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4.主码流分辨率不小于3840x2160@25fps，子码流不小于704x576@25fp。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5.支持亮度异常、清晰度异常、花屏、雪花、偏色、画面冻结、增益失衡、画面抖动、条纹干扰、信号丢失、视频遮挡、光晕、紫边等故障报警功能。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6.可同时支持人脸比对、人脸属性分析、客流统计及人员重复进出次数统计功能。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7.支持单场景同时检出不少于30张人脸图片，支持侧脸过滤功能，可过滤上下、左右角度达到预设值的人脸。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8.支持双向统计客流量及统计重复客流数量，并将统计结果实时叠加在监控画面上。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9.需具有1个RJ45网络接口、1路CVBS视频输出、3路报警输入、2路报警输出接口、2个音频输入、1个音频输出接口。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10.同时支持DC12V和POE供电，可支持AC24V供电。</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CD3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7319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42FB1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9AA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3FF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过道监控设备服务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0729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1.支持2560x1440 @ 25fps，分辨力不小于1500TVL。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2.内置GPU芯片。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3.支持用户自定义不低于 4个算法模型，可设置当前生效的算法模型和显示当前算法模型的运行状态，并支持修改、删除算法模型及自定义算法模型名称。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4.最低照度彩色：0.005 lx，黑白:0.001 lx，最大亮度鉴别等级不小于11级。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5.红外补光距离不小于30米。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6.支持三码流技术，支持主码流2560x1440@25fps、子码流704x576@25fps、第三码流1920x1080@25fps。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7.支持对存储卡进行读写锁定，锁定后的存储卡在移动终端需要密码才能访问。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8.支持防水防尘等级不小于IP67。</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9.支持电源电压DC12V±20%的范围内正常工作，支持防反接保护和PoE供电。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10.支持值岗检测，可在设定时间和检测区域内实时分析目标人员是否在岗、是否玩手机、是否睡觉，对符合设定条件的目标进行筛选、抓拍、统计、上报等处理。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11.支持内置2个麦克风，1个扬声器，1路音频输入，1路音频输出。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3F6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B87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B0C8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00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034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外围监控摄像机设备服务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AAE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1.在2560x1440@25fps下，码率设置为2Mbps，清晰度不小于1400TVL。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2.内置1颗CPU、GPU、NPU于一体的芯片。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3.补光灯开启后，灯光应为椭圆形形状，且补光灯均匀无波纹状、圆环状、麻点状、条纹状和不规则亮斑。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4.在低照环境下，开启补光灯，样机可识别距离样机50m处人体轮廓。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5.具有AI-ISP图像质量提升功能，在低照度环境下，可自动调节预览场景视频画面中人脸、人体、车辆等目标及预览场景视频画面的区域曝光、亮度、色彩饱和度、对比度、锐度等。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6.支持DC12V或POE供电。</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FCB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6D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546F9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6F4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A36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拾音器设备服务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44A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1.拾音范围:5~100平方米;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2.音频传输距离:3000米;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3.灵敏度:-32dB;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4.频率响应:20Hz~20KHz。</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2CC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6E2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r>
      <w:tr w14:paraId="4F6F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C6CD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48CD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吊装支架设备服务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61D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可伸缩吊装支架/铝合金/高度120cm~200cm可调</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F09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FFD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0D4DE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B27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9BB9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过道、外围摄像机安装设备服务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F1C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过道、外围摄像机安装（布线、PVC管材、线材、辅材、安装、调试等）</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02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AA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3AB0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D81F1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2、网络设备及综合布线</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6E89F">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8"/>
                <w:szCs w:val="2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0CCDD">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8"/>
                <w:szCs w:val="28"/>
                <w:u w:val="none"/>
              </w:rPr>
            </w:pPr>
          </w:p>
        </w:tc>
      </w:tr>
      <w:tr w14:paraId="4FEC9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6CB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648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核心交换机设备服务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B28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1、交换容量≥1900Tbps，包转发率≥460000Mpps；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2、主控引擎与交换网板物理分离，主控引擎≥2；独立交换网板≥4；整机业务板槽位数≥8，主控槽位与业务线卡槽位宽度相同，为全宽槽位。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3、为保证设备散热效果和可靠性，要求设备支持模块化风扇框，可热插拔，当单个风扇框发生故障时，有其他风扇正常运行，保证设备散热，独立风扇框数≥4个；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4、为适应现场机柜安装环境，要求设备深度≤600mm；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5、为安装及日常维护方便，所有可插拔板卡（主控、交换、业务板卡）是前插板，所有走线全部在前面板走线，包括业务和管理线缆，单面维护；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6、支持独立的硬件监控板卡, 控制平面和监控平面物理槽位分离，支持1+1备份，能集中监控板卡、风扇、电源、环境，能调节能耗；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7、关键芯片（CPU、交换芯片）采用国产，自主可控；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8、支持VxLAN功能，支持VxLAN二层网关、三层网关，支持BGP EVPN，实现自动建立隧道；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9、支持整机MAC地址≥1M，ARP表项≥256K，IPv4路由转发表FIB规格≥2M，Ipv6路由转发表FIB规格≥1M；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10、支持静态路由、RIP、RIPng、OSPF、OSPFv3、BGP、BGP4+、ISIS、ISISv6；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11、支持IGMPv1/v2/v3、IGMP v1/v2/v3 Snooping，PIM DM、PIM SM、PIM SSM，MSDP、MBGP，用户快速离开机制，组播流量控制，组播查询器，组播协议报文抑制功能，组播CAC，组播ACL；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12、支持IPv6过渡技术，IPv4/IPv6双栈、6over4隧道、4 over6隧道，支持IPv6 DHCP SERVER、IPv6 DHCP Relay、DHCP Snooping；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13、持纵向虚拟化技术，支持把交换机和AP虚拟为一台设备；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14、支持实际业务流的实时检测技术，实现对IP网络的精确丢包监控和快速故障定界能力，支持设备级、链路级、和网络级丢包监测，其中网络级支持端到端、逐跳或区域的丢包监测；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15、单台实配: 双主控引擎，双交换网板，冗余交流电源，配置万兆光口≥96个，千兆电口≥48个，配置万兆单模光模块≥12个，万兆多模光模块≥12个，千兆单模光模块≥24个；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16、提供3年原厂质保服务。</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A8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A3D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6014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45F3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B6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工位网络信息点位服务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7E76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含7个AP、6个汇聚点、105个工位网络信息点位（35个工位，每个工位1内1外1语音点位）的光纤布线、熔纤、网络布线、汇聚点电源布线、壁挂机柜、ODF架、终端盒、1分8语音分光器、电源线、插板、空开、皮线光纤、六类网线、超五类网线、水晶头、光纤跳线、模块、面板、底盒、PVC管、槽板等施工调试以及实施过程中的开孔及修复。</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8E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979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r>
      <w:tr w14:paraId="3AA77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6472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ED92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政企网关服务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090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物理接口要求</w:t>
            </w:r>
            <w:r>
              <w:rPr>
                <w:rStyle w:val="8"/>
                <w:rFonts w:eastAsia="宋体"/>
                <w:lang w:val="en-US" w:eastAsia="zh-CN" w:bidi="ar"/>
              </w:rPr>
              <w:t xml:space="preserve"> </w:t>
            </w:r>
            <w:r>
              <w:rPr>
                <w:rStyle w:val="9"/>
                <w:lang w:val="en-US" w:eastAsia="zh-CN" w:bidi="ar"/>
              </w:rPr>
              <w:t>：网络侧</w:t>
            </w:r>
            <w:r>
              <w:rPr>
                <w:rStyle w:val="8"/>
                <w:rFonts w:eastAsia="宋体"/>
                <w:lang w:val="en-US" w:eastAsia="zh-CN" w:bidi="ar"/>
              </w:rPr>
              <w:t xml:space="preserve"> </w:t>
            </w:r>
            <w:r>
              <w:rPr>
                <w:rStyle w:val="9"/>
                <w:lang w:val="en-US" w:eastAsia="zh-CN" w:bidi="ar"/>
              </w:rPr>
              <w:t>PON 接口:设备支持一个PON 接口，并支持通过自动检测/配置的方式使其工作在GPON 或EPON 模式，设备兼容中兴、华为等主流厂家OLT；用户侧：GE接口：8GE，语音接口：8个FXS语音接口（RJ-11）、WLAN接口：支持多个SSID、USB接口：1个、WAN接口：1个；</w:t>
            </w:r>
            <w:r>
              <w:rPr>
                <w:rStyle w:val="9"/>
                <w:lang w:val="en-US" w:eastAsia="zh-CN" w:bidi="ar"/>
              </w:rPr>
              <w:br w:type="textWrapping"/>
            </w:r>
            <w:r>
              <w:rPr>
                <w:rStyle w:val="9"/>
                <w:lang w:val="en-US" w:eastAsia="zh-CN" w:bidi="ar"/>
              </w:rPr>
              <w:t>功能：多种方式接入，支持路由，桥接，PPPOE拨号接入，DHCP，静态IP接入。</w:t>
            </w:r>
            <w:r>
              <w:rPr>
                <w:rStyle w:val="9"/>
                <w:lang w:val="en-US" w:eastAsia="zh-CN" w:bidi="ar"/>
              </w:rPr>
              <w:br w:type="textWrapping"/>
            </w:r>
            <w:r>
              <w:rPr>
                <w:rStyle w:val="9"/>
                <w:lang w:val="en-US" w:eastAsia="zh-CN" w:bidi="ar"/>
              </w:rPr>
              <w:t>基本功能：QOS功能：支持优先级映射，流量监管(CAR)，流量整形，拥塞管理，优先级管理</w:t>
            </w:r>
            <w:r>
              <w:rPr>
                <w:rStyle w:val="9"/>
                <w:lang w:val="en-US" w:eastAsia="zh-CN" w:bidi="ar"/>
              </w:rPr>
              <w:br w:type="textWrapping"/>
            </w:r>
            <w:r>
              <w:rPr>
                <w:rStyle w:val="9"/>
                <w:lang w:val="en-US" w:eastAsia="zh-CN" w:bidi="ar"/>
              </w:rPr>
              <w:t>设备管理：支持可通过 Console、Telnet、Web 对用户接入服务器进行管理，"Telnet 访问连接数量限制"、能够限制 Telnet 访问的数目</w:t>
            </w:r>
            <w:r>
              <w:rPr>
                <w:rStyle w:val="9"/>
                <w:lang w:val="en-US" w:eastAsia="zh-CN" w:bidi="ar"/>
              </w:rPr>
              <w:br w:type="textWrapping"/>
            </w:r>
            <w:r>
              <w:rPr>
                <w:rStyle w:val="9"/>
                <w:lang w:val="en-US" w:eastAsia="zh-CN" w:bidi="ar"/>
              </w:rPr>
              <w:t>SD-WAN功能：要求设备支持PON上行开通SD-WAN</w:t>
            </w:r>
            <w:r>
              <w:rPr>
                <w:rStyle w:val="8"/>
                <w:rFonts w:eastAsia="宋体"/>
                <w:lang w:val="en-US" w:eastAsia="zh-CN" w:bidi="ar"/>
              </w:rPr>
              <w:t xml:space="preserve">   </w:t>
            </w:r>
            <w:r>
              <w:rPr>
                <w:rStyle w:val="9"/>
                <w:lang w:val="en-US" w:eastAsia="zh-CN" w:bidi="ar"/>
              </w:rPr>
              <w:br w:type="textWrapping"/>
            </w:r>
            <w:r>
              <w:rPr>
                <w:rStyle w:val="9"/>
                <w:lang w:val="en-US" w:eastAsia="zh-CN" w:bidi="ar"/>
              </w:rPr>
              <w:t>安全功能：基本防火墙：支持基本防火墙、网站过滤、MAC地址过滤、访问控制，防ARP攻击、防DDoS攻击，Web认证、RADIUS认证、支持非法IP检测、传输距离测试，100 米传输距离能正常工作,传输无丢包，具备长期稳定性</w:t>
            </w:r>
            <w:r>
              <w:rPr>
                <w:rStyle w:val="8"/>
                <w:rFonts w:eastAsia="宋体"/>
                <w:lang w:val="en-US" w:eastAsia="zh-CN" w:bidi="ar"/>
              </w:rPr>
              <w:t xml:space="preserve"> </w:t>
            </w:r>
            <w:r>
              <w:rPr>
                <w:rStyle w:val="9"/>
                <w:lang w:val="en-US" w:eastAsia="zh-CN" w:bidi="ar"/>
              </w:rPr>
              <w:t>：开启防火墙、NAT，10条ACL，每秒新建连接数和流量均为指标要求60%的情况下，7×24小时内的会话成功率在99.999%</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CC4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A6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47417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0133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B1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政企网关服务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DD6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物理接口要求</w:t>
            </w:r>
            <w:r>
              <w:rPr>
                <w:rStyle w:val="8"/>
                <w:rFonts w:eastAsia="宋体"/>
                <w:lang w:val="en-US" w:eastAsia="zh-CN" w:bidi="ar"/>
              </w:rPr>
              <w:t xml:space="preserve"> </w:t>
            </w:r>
            <w:r>
              <w:rPr>
                <w:rStyle w:val="9"/>
                <w:lang w:val="en-US" w:eastAsia="zh-CN" w:bidi="ar"/>
              </w:rPr>
              <w:t>：网络侧</w:t>
            </w:r>
            <w:r>
              <w:rPr>
                <w:rStyle w:val="8"/>
                <w:rFonts w:eastAsia="宋体"/>
                <w:lang w:val="en-US" w:eastAsia="zh-CN" w:bidi="ar"/>
              </w:rPr>
              <w:t xml:space="preserve"> </w:t>
            </w:r>
            <w:r>
              <w:rPr>
                <w:rStyle w:val="9"/>
                <w:lang w:val="en-US" w:eastAsia="zh-CN" w:bidi="ar"/>
              </w:rPr>
              <w:t>PON接口：设备支持一个PON 接口，并支持通过自动检测/配置的方式使其工作在GPON 或EPON 模式，设备兼容中兴、华为等主流厂家OLT</w:t>
            </w:r>
            <w:r>
              <w:rPr>
                <w:rStyle w:val="9"/>
                <w:lang w:val="en-US" w:eastAsia="zh-CN" w:bidi="ar"/>
              </w:rPr>
              <w:br w:type="textWrapping"/>
            </w:r>
            <w:r>
              <w:rPr>
                <w:rStyle w:val="9"/>
                <w:lang w:val="en-US" w:eastAsia="zh-CN" w:bidi="ar"/>
              </w:rPr>
              <w:t>用户侧</w:t>
            </w:r>
            <w:r>
              <w:rPr>
                <w:rStyle w:val="8"/>
                <w:rFonts w:eastAsia="宋体"/>
                <w:lang w:val="en-US" w:eastAsia="zh-CN" w:bidi="ar"/>
              </w:rPr>
              <w:t xml:space="preserve"> </w:t>
            </w:r>
            <w:r>
              <w:rPr>
                <w:rStyle w:val="9"/>
                <w:lang w:val="en-US" w:eastAsia="zh-CN" w:bidi="ar"/>
              </w:rPr>
              <w:t>GE接口：4GE，语音接口：16个FXS语音接口（RJ-11）、WLAN接口：支持多个SSID、USB接口</w:t>
            </w:r>
            <w:r>
              <w:rPr>
                <w:rStyle w:val="8"/>
                <w:rFonts w:eastAsia="宋体"/>
                <w:lang w:val="en-US" w:eastAsia="zh-CN" w:bidi="ar"/>
              </w:rPr>
              <w:t xml:space="preserve"> </w:t>
            </w:r>
            <w:r>
              <w:rPr>
                <w:rStyle w:val="9"/>
                <w:lang w:val="en-US" w:eastAsia="zh-CN" w:bidi="ar"/>
              </w:rPr>
              <w:t>：1个、WAN接口：1个</w:t>
            </w:r>
            <w:r>
              <w:rPr>
                <w:rStyle w:val="9"/>
                <w:lang w:val="en-US" w:eastAsia="zh-CN" w:bidi="ar"/>
              </w:rPr>
              <w:br w:type="textWrapping"/>
            </w:r>
            <w:r>
              <w:rPr>
                <w:rStyle w:val="9"/>
                <w:lang w:val="en-US" w:eastAsia="zh-CN" w:bidi="ar"/>
              </w:rPr>
              <w:t>功能：多种方式接入，支持路由，桥接，PPPOE拨号接入，DHCP，静态IP接入。</w:t>
            </w:r>
            <w:r>
              <w:rPr>
                <w:rStyle w:val="9"/>
                <w:lang w:val="en-US" w:eastAsia="zh-CN" w:bidi="ar"/>
              </w:rPr>
              <w:br w:type="textWrapping"/>
            </w:r>
            <w:r>
              <w:rPr>
                <w:rStyle w:val="9"/>
                <w:lang w:val="en-US" w:eastAsia="zh-CN" w:bidi="ar"/>
              </w:rPr>
              <w:t>基本功能：QOS功能：支持优先级映射，流量监管(CAR)，流量整形，拥塞管理，优先级管理</w:t>
            </w:r>
            <w:r>
              <w:rPr>
                <w:rStyle w:val="9"/>
                <w:lang w:val="en-US" w:eastAsia="zh-CN" w:bidi="ar"/>
              </w:rPr>
              <w:br w:type="textWrapping"/>
            </w:r>
            <w:r>
              <w:rPr>
                <w:rStyle w:val="9"/>
                <w:lang w:val="en-US" w:eastAsia="zh-CN" w:bidi="ar"/>
              </w:rPr>
              <w:t>设备管理：支持可通过 Console、Telnet、Web 对用户接入服务器进行管理，"Telnet 访问连接数量限制"、能够限制 Telnet 访问的数目</w:t>
            </w:r>
            <w:r>
              <w:rPr>
                <w:rStyle w:val="9"/>
                <w:lang w:val="en-US" w:eastAsia="zh-CN" w:bidi="ar"/>
              </w:rPr>
              <w:br w:type="textWrapping"/>
            </w:r>
            <w:r>
              <w:rPr>
                <w:rStyle w:val="9"/>
                <w:lang w:val="en-US" w:eastAsia="zh-CN" w:bidi="ar"/>
              </w:rPr>
              <w:t>安全功能：基本防火墙</w:t>
            </w:r>
            <w:r>
              <w:rPr>
                <w:rStyle w:val="8"/>
                <w:rFonts w:eastAsia="宋体"/>
                <w:lang w:val="en-US" w:eastAsia="zh-CN" w:bidi="ar"/>
              </w:rPr>
              <w:t xml:space="preserve"> </w:t>
            </w:r>
            <w:r>
              <w:rPr>
                <w:rStyle w:val="9"/>
                <w:lang w:val="en-US" w:eastAsia="zh-CN" w:bidi="ar"/>
              </w:rPr>
              <w:t>：支持基本防火墙、网站过滤、MAC地址过滤、访问控制，防ARP攻击、防DDoS攻击，Web认证、RADIUS认证、支持非法IP检测、传输距离测试，100 米传输距离能正常工作,传输无丢包，具备长期稳定性：开启防火墙、NAT，10条ACL，每秒新建连接数和流量均为指标要求60%的情况下，7×24小时内的会话成功率在99.999%以上 。</w:t>
            </w:r>
            <w:r>
              <w:rPr>
                <w:rStyle w:val="9"/>
                <w:lang w:val="en-US" w:eastAsia="zh-CN" w:bidi="ar"/>
              </w:rPr>
              <w:br w:type="textWrapping"/>
            </w:r>
            <w:r>
              <w:rPr>
                <w:rStyle w:val="9"/>
                <w:lang w:val="en-US" w:eastAsia="zh-CN" w:bidi="ar"/>
              </w:rPr>
              <w:t>畸形包处理能力测试，畸形包应被丢弃，并在日志中有相关记录"硬件类型错误的 ARP报文处理"，抛弃硬件类型错误的 ARP 报文、"管理接口 IPv6 访问控制功能测试"、"可以通过 IPv6 为远程连接用户提供访问控制，拒绝未通过验证的连接"</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18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4D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8A5F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CC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0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E3C1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机架式光纤收发器设备服务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BB1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收发器专用机架，14槽位</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8F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F4F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4F616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EC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697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光纤收发器设备服务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A0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千兆单模单纤 SC端口 铁壳  距离≤20KM 波长：1310nm/1550nm 芯片：QCA8334全版 使用环境：适用温度-20℃至70℃ 一对</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A99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353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13092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56A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DA07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核心交换机原厂实施服务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8F57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1、信息收集：业务需求收集和分析、网络架构需求收集和分析，以及演进可行性分析，含IP/VLAN、二层特性、路由协议、QoS特性、MPLS特性。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2、目标网络设计：网络架构设计，网络资源分配，含IP/VLAN、二层特性、路由协议、QoS特性、MPLS特性。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3、实施方案编写：面向交付站点的迁移/实施需求分析、现网配置分析、迁移/实施方案撰写、业务/应用逻辑可用性验证方案撰写。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3、集成部署：IP地址配置、基础配置、路由协议配置（静态路由、IGP、BGP、TE等），实现网络互联互通。</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3B0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E3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0CAF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75F2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3、NTP时钟系统</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7399C">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8"/>
                <w:szCs w:val="2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9718A">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8"/>
                <w:szCs w:val="28"/>
                <w:u w:val="none"/>
              </w:rPr>
            </w:pPr>
          </w:p>
        </w:tc>
      </w:tr>
      <w:tr w14:paraId="050A9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B2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2D0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系统母钟设备服务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54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1.自带卫星同步时间信号接收功能单元，直接接入外部连接天线探头的馈线，并为天线探头提供工作电源。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2.采用GPS/北斗双星信号同时接收模式，直接跟踪并同步UTC（协调世界时）时间；跟踪卫星定时精度： ≤30ns。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3.GPS和北斗信号无缝兼容，可通过时钟管理系统软件设定GPS和北斗信号的主、备用顺序，设定后可根据信号通断状况自动切换运行。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4.最多时可同时跟踪同步12颗卫星时间信号，日常应该至少保持3~4颗卫星的同步。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5.外接天线的馈线长度标配为50米，含避雷器。如现场确定标配馈线长度不够时，可在合同交货前追加。馈线等天线材料由厂商全套提供。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6.天线探头应具有防雨及腐蚀功能，必须保证能在露天使用环境下10年的使用周期。必须提供整套支架及固定安装标准配件。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7.母钟本机箱正面应具有清晰可靠的显示窗口，可在开机运行状态下显示标准时间及日立信息、外接电源信息、卫星信号同步指示等。同时，面板上还应具有各类运行状态指示灯及操作按键。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8.母钟本机应具有可靠的自守时功能单元，以确保在卫星同步时间信号失锁或中断时，能继续计时运行。初始自守时精度不低于：1ms/day。</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9.母钟自守时功能单元，应在同步运行状态下不断接受外来标准时间信息的校准，以确保卫星信号中断之初，切换运行的初始自守时时间无前期累积误差。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10.母钟的授时等级可通过时钟管理系统软件设定，可决定在卫星信号中断时母钟是否需要继续发送标准时间信息。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11.设备背面应有多个选配安装各种信号接口的模块插槽，除本次选定的NTP网络时间服务器接口外，还应留有不固定种类的信号接口模块扩展余地。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12.除各种输出信号接口模块安装位置外，母钟设备上应该还具备维护接口端子（DB8或USB）、声光告警接口端子（可外接设备）、卫星同步信号天线馈线接线端（BNC）以及接地端子等。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13.为本项目配置2路NTP网络时间服务接口，内置安装，RJ45，直接为局域网计算机及网络子钟等智能终端提供标准时基。不需单独配置独立的NTP网络时间服务器。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14.NTP网络对时接口的协议工作方式：NTP(SNTP)标准对时协议，10/100Base-TX以太网自适应，无需专用软件 ，可自动运用系统内核对时。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15.单个NTP网络对时接口的可接受最大秒访问流量1000次；精度1~5ms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16.设备包含通讯控制器功能，可通过时钟管理系统对子钟进行功能设定。无需另配独立通信控制器设备。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17.双电源输入：85～265VAC  50/60Hz 或 110～220VDC 自适应。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18.整机功耗：≤15W。- 适应环境温度： -10℃～65℃- MTBF≥60000小时</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85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BF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1969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DB4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1982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时钟管理系统设备服务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BCB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钟系统由专用管理软件，装入计算机后组成可直接通过网卡接入局域网任一台就近交换机进行系统管理：可直接建立系统数据库，监控和管理系统运行状态；可设置更改子钟和母钟的IP地址；可调整指针式子钟走时精度；可调整数字子钟显示亮度；设置数字子钟倒计时、定时开关机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时钟管理系统必须是附属于主系统的外挂设备，日常情况下，这台设备的开机或关机，都不对主系统的时间同步产生任何影响。</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67F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A3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77D7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4E3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4、网络安全服务</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570C3">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8"/>
                <w:szCs w:val="2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0C847">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8"/>
                <w:szCs w:val="28"/>
                <w:u w:val="none"/>
              </w:rPr>
            </w:pPr>
          </w:p>
        </w:tc>
      </w:tr>
      <w:tr w14:paraId="3F29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992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834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内网防火墙设备服务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F26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1、标准机架式设备，千兆电口≥8个，千兆SFP接口≥2个，万兆SFP接口≥2个，1个扩展槽位，冗余电源；网络吞吐≥12Gbps，应用吞吐≥8Gbps，最大并发连接≥400万，新建连接≥8.6万/秒，适用带宽≥0.8G，SSL VPN用户数≥150 个，IPSEC VPN隧道数≥1000 个，IPSEC吞吐≥2.8 Gbps；下一代防火墙产品，支持IPS、防病毒、应用控制、IPSec VPN、SSL VPN等功能；提供≥3年硬件质保服务，≥3年基础特征库升级（包含IPS+AV+应用特征+URL库+资产防护功能模块+威胁情报功能模块）。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2、支持路由、透明及混合部署模式；支持主-主和主-备模式，主备模式下支持基于设备优先级的主设备抢占功能；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3、支持静态路由、动态路由（RIP、OSPF、OSPFv3、BGP4）；支持基于入接口、源地址、目标地址、服务端口、应用类型的策略路由；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基于接口/安全域、地址、用户、服务、应用和时间的防火墙访问控制策略；支持基于接口/安全域、地址、用户、服务、应用和时间的会话控制策略，包括总连接数控制、每秒总新建连接数控制、每IP总连接数控制、每IP新建连接数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5、支持策略预编译技术，在大量防火墙访问控制策略情况下整机性能不受影响；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网络入侵检测及防御功能，入侵防御事件库事件数量不少于3000条；可基于IP地址、网段、用户、时间、VLAN、协议类型等条件设定入侵防御模块的检测事件；一条策略可同时引用攻击防护、病毒防护、入侵防护、web防护、威胁情报、口令防护等安全防护模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7、支持对HTTP、FTP、SMTP、POP3、IMAP协议的病毒检测和过滤功能,对文件感染型病毒、蠕虫病毒、脚本病毒、宏病毒、木马、恶意软件等过滤,防病毒功能开启后，整机处理性能衰减不超过30%;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8、支持通过ICMP、TCP、DNS和HTTP协议实现对链路可用性的多重健康检查；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9、支持DNS透明代理功能，可将指定范围内的DNS请求自动重定向至管理员指定的DNS服务器，且支持多台DNS服务器的负载均衡,负载均衡算法至少包括轮询、加权轮询、优先级；</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84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D2B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E14E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B8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1308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外网防火墙设备服务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39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1、标准机架式设备，千兆电口≥8个，千兆SFP接口≥2个，万兆SFP接口≥2个，1个扩展槽位，冗余电源；网络吞吐≥12Gbps，应用吞吐≥8Gbps，最大并发连接≥400万，新建连接≥8.6万/秒，适用带宽≥0.8G，SSL VPN用户数≥150 个，IPSEC VPN隧道数≥1000 个，IPSEC吞吐≥2.8 Gbps；下一代防火墙产品，支持IPS、防病毒、应用控制、IPSec VPN、SSL VPN等功能；提供≥3年硬件质保服务，≥3年基础特征库升级（包含IPS+AV+应用特征+URL库+资产防护功能模块+威胁情报功能模块）。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2、支持路由、透明及混合部署模式；支持主-主和主-备模式，主备模式下支持基于设备优先级的主设备抢占功能；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3、支持静态路由、动态路由（RIP、OSPF、OSPFv3、BGP4）；支持基于入接口、源地址、目标地址、服务端口、应用类型的策略路由；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基于接口/安全域、地址、用户、服务、应用和时间的防火墙访问控制策略；支持基于接口/安全域、地址、用户、服务、应用和时间的会话控制策略，包括总连接数控制、每秒总新建连接数控制、每IP总连接数控制、每IP新建连接数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5、支持策略预编译技术；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网络入侵检测及防御功能，入侵防御事件库事件数量不少于3000条；可基于IP地址、网段、用户、时间、VLAN、协议类型等条件设定入侵防御模块的检测事件；一条策略可同时引用攻击防护、病毒防护、入侵防护、web防护、威胁情报、口令防护等安全防护模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7、支持对HTTP、FTP、SMTP、POP3、IMAP协议的病毒检测和过滤功能,对文件感染型病毒、蠕虫病毒、脚本病毒、宏病毒、木马、恶意软件等过滤,防病毒功能开启后，整机处理性能衰减不超过30%;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8、支持通过ICMP、TCP、DNS和HTTP协议实现对链路可用性的多重健康检查；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9、支持DNS透明代理功能，可将指定范围内的DNS请求自动重定向至管理员指定的DNS服务器，且支持多台DNS服务器的负载均衡,负载均衡算法至少包括轮询、加权轮询、优先级；</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896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6CB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7E6C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18BD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391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堡垒机设备服务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4743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1、标准机架式设备，千兆电口≥6个，千兆光口≥4个，1个扩展槽，内存≥16G，数据盘存储容量≥2TB，冗余电源；IP管理授权≥100个，峰值图形并发数≥300个，字符图形并发数≥400个；提供≥3年硬件维保服务；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2、具备资产运维统一门户，操作人员与资产管理人员可通过页面查看各资产运维情况，可通过协议运维登录按钮快捷登录各类资产；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3、支持多资产多协议的批量运维管理，运维人员可通过策略创建的方式勾选对应资产与协议生成批量运维策略，一键批量快捷登录；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4、支持SSH、RDP、SFTP、FTP、Telnet、VNC、X11等标准协议管理，支持Orcale、Sqlserver、Mysql等数据库管理，支持B/S、C/S应用程序管理；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5、能够对审批模式及审批负责人进行配置，审批模式支持并行审批、串行审批等多种模式，审批流程可设置三级负责人审批，每级可为多个负责人；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6、具备实时会话监控功能，当运维人员进行运维操作时审计员可通过实时会话监控操作过程，出现危险行为时可实时阻断；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运维操作的历史在线查询页面，用户通过此页面查询历史操作行为，操作记录采用行为仿真的方式呈现操作过程，操作回放支持暂停、播放、多倍速播放等，倍速播放包括但不限于0.5倍速、倍速、4倍速、8倍速、16倍速等，回放过程应支持指令定位功能，点击指令自动跳转至对应视频位置,具备独立的指令审计页面，通过指令审计页面回放单独指令运维过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水印功能，用户在运维或者是监控、查看会话时，H5页面会将用户的登录名作为水印展示，避免数据泄露无法追责，支持在H5运维SSH、RDP、TELNET、VNC、应用发布等资源时显示水印，支持水印间距、水印字体、水印透明度等配置；</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39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8D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A20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A3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260E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上网行为管理及审计系统设备服务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CF5E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机架式设备，千兆电口≥4个、千兆光口≥2个，内存≥4G，数据盘存储容量≥1TB；网络层吞吐量≥5Gbps，应用层吞吐量≥3Gbps，并发连接数≥160万，支持≥600个用户；提供≥3年硬件维保，≥3年特征库升级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2、支持IPv4、IPv4双协议，NAT，NAT技术包括但不少于：NAT-v4、NAT46、NAT64、NAT66，支持OSPF、OSPF6、RIP、RIPng、BGP动态路由。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3、支持路由模式部署，可以作为出口网关，包括单出口和多出口的部署模式，并支持防火墙和NAT功能；支持旁路模式部署，支持流量进行和分光方式的部署，支持网桥和路由混合部署模式。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4、支持IPSec VPN、SSL VPN、Gre VPN、PPTP VPN、L2TP VPN，支持手机、平板电脑等移动终端VPN接入，功能标配，无需增加功能授权即可使用。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5、支持办公网场景身份认证种类包括但不少于：本地账号密码认证、Radius、LDAP、POP3、Gmail、数据库、企业微信、阿里钉钉、飞书、CAS、Oauth、主机名、IC卡、指纹、802.1X。</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用户自注册，用户可按需选择用户名或者终端进行申请，注册结果和账号信息反馈途径包括但不少于：申请页面显示账号密码、邮箱接收账号密码、短信接收账号密码、页面显示二维码和账号密码等，减轻管理员运维工作的同时，灵活满足临时访客上网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自动发现网络终端，并获取IP、Mac、厂商、操作系统等信息，设备必须支持PC、移动设备、哑终端、专用设备的发现和型号识别：至少支持Windows、Linux、MAC、瘦客户机等PC；至少支持手机、平板等移动设备；至少支持服务器、交换机、无线控制器等网络设备；至少支持交换机、路由器、无线路由等网络设备；至少支持防火墙、入侵检测、上网行为管理等网络安全设备；至少支持门禁系统、智能设备等物联网设备；至少支持打印机、投影仪、电视、摄像头、门禁系统等哑终端，全面掌握内网资产态势，保障准入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8、URL数量在3000万以上，包含分类数量60个以上，支持自定义URL规则。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9、支持智能调整流控策略，避免带宽资源浪费；具有P2P智能流控功能，支持通过抑制P2P的下行流量，来减缓P2P的上行流量，从而解决网络出口在做流控后仍然压力较大的问题。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10、记录QQ、微信聊天内容、传文件动作和所传文件内容，离线时继续生效，支持允许特定的外设（包括U盘/存储设备）在终端上使用，并提供批量获取硬件ID的工具。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11、产品具备《网络安全专用产品安全检测证书》</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D24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62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33D5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22FC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5、三楼会议室会议系统服务</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E8CDB">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8"/>
                <w:szCs w:val="2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41B543">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8"/>
                <w:szCs w:val="28"/>
                <w:u w:val="none"/>
              </w:rPr>
            </w:pPr>
          </w:p>
        </w:tc>
      </w:tr>
      <w:tr w14:paraId="2141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44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306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专业功放设备服务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489560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1.标准≤1U机柜式设计；采用PFC+开关电源+D类数字功放设计方案；输出功率：立体声@8Ω：≥500W×2；立体声@4Ω：≥850W×2；桥接@8Ω：≥1700W。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2.开关电源采用LLC谐振电源短路保护电路和D类数字功放一体模块化设计，保证半桥LLC开关电源稳定性和可靠性。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3.支持开机软启动功能，软启动过程中电源需求缓慢上升，减少对电网和其他电子设备的电流冲击。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4.开关电源内置EMI电路，有效的抑制电源谐波，达到欧盟绿色电源标准。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5.数字功放核心的调制和匹配电路技术，让功放还原真实原声。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6.整机转换效率达到85%以上。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7.数字功放电源自适应音频调整节能功能，实现智能削峰限幅器，控制功率模块及扬声器系统在安全范围内工作。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8.MONO /STEREO/BRIDGE三种模式可选择切换。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9.开机软启动，防止开机时向电网吸收大电流，干扰其它用电设备。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10.内置六大保护电路模块，为功放的可靠性保驾护航，具有：过压保护，欠压保护，过流保护，直流保护，输出短路保护，温控风扇等功能。</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3F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725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4B8A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F1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7C2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专业音箱设备服务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1179E2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1.阻抗≤8Ω；2.频响等同或优于55Hz~20KHz；3.额定功率≥300W；4.灵敏度≥98dB/W/M；5.水平覆盖角≥80°，垂直覆盖角≥60°；6.高音≥1.4"压缩高音单元×1；7.低音≥10"低音×1</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16F0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9788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0902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9F38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C99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5619ED6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音箱支架</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1CA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C9B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EE63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C2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DB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专业功放设备服务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599E6D7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1.标准≤1U机箱设计，采用D类数字功放设计方案。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2.标准XLR输入接口，和LINK输出口。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3.电源采用开关电源技术，效率高，有效的抑制电源谐波。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4.内置智能削峰限幅器，支持开机软启动，防止开机时向电网吸收大电流，干扰其它用电设备。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5.具有：过压保护，欠压保护，过流保护，直流保护，输出短路保护，温控风扇等功能。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6.输出功率：立体声@8Ω：≥350W×2；立体声@4Ω：≥600W×2。</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A44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0D2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1BF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602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5FFB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专业音箱设备服务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741C672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1.阻抗≤8Ω；2.频响等同或优于60Hz~20KHz；3.额定功率≥200W；4.灵敏度≥96dB/W/M；5.水平覆盖角≥80°，垂直覆盖角≥60°；6.高音≥1.4"压缩高音单元×1；7.低音≥8"低音×1</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6B2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BD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5FFA1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DE0F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25F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03ED13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音箱支架</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ABD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957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7A486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48F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899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HY系列无线话筒设备服务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38E475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1.基于数字U段的传输技术，pi/4-DQPSK调制方式，采用国产主控芯片，传输距离≥80米，接收机具有≥2路平衡输出、≥1路非平衡混音输出；具有混响、均衡、智能静音、音频加密、功率调节功能。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2.具有≥1台接收主机、≥2只手持发射机；频率范围等同或优于470MHz-510MHz、540MHz-590MHz、640MHz-690MHz、807MHz-830MHz四个频段使用。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显示屏、≥1个开关机/静音按键、≥2个工作状态指示灯。（需提供得到CMA或CNAS认可的检测机构出具的检测报告作为该技术参数证明材料）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自动静音功能，麦克风跌落、抛掷时，毫秒级自动静音，避免冲击声；实时监测设备姿态，静置≥5秒静音，≥8分钟关机，无需手动干预。（需提供得到CMA或CNAS认可的检测机构出具的检测报告作为该技术参数证明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5.具有多档位混响调节功能，混响效果≥15625个，效果占比、回响延时、混响幅度调节，三种音效各具有≥25档调节方式。（需提供得到CMA或CNAS认可的检测机构出具的检测报告作为该技术参数证明材料）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6.HY系列无线话筒具有多频段均衡调节功能，均衡调节≥2197种，麦克风均衡器调节功能，具有高、中、低音三种调节档位，每种效果支持≥13档调节。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7.具有长时间续航，发射机使用时长≥10小时。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9.接收机具有≥2个2.2英寸的TFT-LCD显示屏；发射机具有≥0.96英寸OLED显示屏，能够显示频率信息、音频加密状态、功率挡位、静音状态、电量格数信息。</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6B2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D9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0A1F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534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78B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话筒天线设备服务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546516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1.射频频率范围等同或优于470～950MHz；2.驻波比：≤2.0；3.输入阻抗：≤50Ω；4.指向性：≥180度指向</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64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2AF3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56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B8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5B2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调音台设备服务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0722F6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1.支持≥8路麦克风输入兼容6路线路输入接口，支持≥2路立体声输入接口，≥4路RCA输入，话筒接口幻象电源：+48V。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2.具有≥2组立体声输出、≥4路编组输出、≥4路辅助输出、≥1个耳机监听输出、≥1个接口双路效果输出 、≥1组控制室输出、≥1组主混音断点插入、≥6个断点插入。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3.内置≥24位DSP效果器，提供≥100种预设效果。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4.具备≥13个60mm行程的高精密碳膜推子。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5.内置USB声卡模块，支持连接电脑进行音乐播放和声音录音；内置MP3播放器，支持≥1个USB接口接U盘播放音乐。</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C74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62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ECD9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D44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5.10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4B5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音频处理器设备服务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337465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后面板具有≥8路线路音频凤凰端子平衡输入接口（具有48V幻象供电）、≥8路线路音频凤凰端子平衡输出接口、≥1个拨码开关、≥1个RJ45接口、≥1个RS232接口、≥1个RS485接口、≥8个可编程GPIO控制接口、≥1个接地柱；前面板具有≥2.0英寸 IPS 真彩显示屏、≥1个编码旋钮、≥1个USB存储设备接口。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12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3.具有矩阵增益调节功能，每个输入通道参与混音的增益可调，增益调节范围等同或优于-72db到12db。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4.音频处理器具有跨平台软件，可运行的操作系统版本≥8种，包括Windows7/10/11、银河麒麟桌面操作系统（兆芯版）、银河麒麟桌面操作系统（飞腾版）、macOS系统、统信UOS、Ubuntu桌面版操作系统。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5.产品具有PC客户端、手机移动端、安卓平板端不同控制方式，可以通同时登入APP软件、PC客户端同时连接设备，并实现多端数据的同步。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6.设备具有编码旋钮和IPS屏幕，可用于控制和配置设备静音，增益，场景；IPS屏幕能够显示IP地址，输入和输出通道的实时电平。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7.具有设备定位功能，客户端一键定位局域网内同类设备，被定位的设备会显示定位信息。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8.设备具有统一集中控制功能，支持≥65535台设备通过软件集中控制。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023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F01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1AE4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063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5.11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034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数字音频处理器软件设备服务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0F7AC1E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1.支持通过软件管理四进四出、八进八出、十二进十二出、十六进十六出通道设备，支持单独配置开关。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2.可根据不同的使用场景存储≥8种预设模式，并通过软件实现场景模式的快速切换。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调节输入通道前级放大、信号发生器、扩展器、压缩器、≥12段参量均衡，≥31段图示均衡、自动增益（AGC）、AM自动混音功能（门限式、增益共享式）、AFC自适应反馈消除、AEC回声消除、ANC噪声消除、音频矩阵。支持调节输出通道≥12段参量均衡、≥31段图示均衡、延时器、分频器、高低通滤波器、限幅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通过RS-485和RS-232接口对接摄像跟踪系统，实现自动摄像跟踪功能；通过软件可设置摄像串口号、摄像机地址、摄像协议、云台转速、预置点、变倍放大或缩小、远近调聚、光圈大小和摄像转动等；可以设置每路音频输入通道跟踪阈值，通过监测输入通道的音量自动追踪目标，实现自动控制和跟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有专家模式和普通模式切换功能；专家模式提供齐全的功能操作界面，具有前级放大、信号发生器、扩展器、压缩器、≥12段参量均衡，≥31段图示均衡、自动增益（AGC）、AM自动混音功能（门限式、增益共享式）、AFC自适应反馈消除、AEC回声消除、ANC噪声消除、音频矩阵功能显示与控制；普通模式提供主要操作界面功能，防止非专业人员误调节音频参数，具有输入通道、输出通道和USB播放、USB录制、通道增益调节和静音开关控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6.具有USB录播功能，支持通过USB接口播放mp3、wma、sbc、wav格式视频，录制MP3格式的音频。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7.支持数据备份功能，可导出预设的参数到本地、导入预设好的数据；支持固件升级，支持网口在线升级DSP固件。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8.具有管理员、普通用户多种角色，管理员可以设置通道增益最大值，普通用户只能在设定的极限值范围内设置增益。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9.软件采用C/S架构，支持跨平台使用，可运行在Windows、银河麒麟操作系统（兆芯版、银河麒麟操作系统（飞腾版）中。</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5F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F2F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1AA5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6F7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5.12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A1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抑制器设备服务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20A824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1.基于啸叫检测门限更新法，具有移频+陷波反馈抑制功能，可以使用≥48个可编程陷波点。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前面板具有≥48个LED灯陷波状态指示灯（具有≥2×12个静态点和≥2×12个动态点）、≥2英寸IPS真彩显示屏、≥1个编码旋钮；后面板具有≥1个船形开关、≥2路XLR母座+2路TRS母座模拟输入、≥2路XLR公座+2路TRS母座模拟输出、≥1个RJ45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3.设备具有编码旋钮和≥2.0英寸IPS屏幕，可用于控制和配置设备直通、场景。IPS屏幕能够显示IP地址，输入和输出通道的实时电平。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4.具有设备定位,PC客户端具有一键定位局域网内同类设备功能,被定位到的设备会在显示屏上显示定位信息.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5.设备具有统一集中控制功能，支持≥65535台设备通过软件集中控制。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6.支持多客户端数据同步，≥2个客户端以上连接混音器设备时，可实现多端数据同步。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反馈抑制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BE27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FD2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89B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9D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5.13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0C6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Lhpass数字会议系统主机设备服务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3126EA0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1.支持≥4096台有线会议单元和≥300台无线会议单元同时接入管理使用；支持≥4396台会议单元同时参与会议议程（签到、表决、服务）以及发言控制。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2.主机兼容同时连接有线与无线会议单元，二者可并行使用；采用跨域音频同步技术，有线与无线会议单元音频的音频无缝混音输出。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3.设备采用分段压缩混音处理技术和时钟同步传输技术，会议单元拾音到主机输出延时≤5ms。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设备具有≥1个USB接口；后面板具有≥2路RS-232接口、≥1路RS-485接口、≥4路RJ45通讯接口；具有≥1路RCA输入、≥1路卡侬输入、≥2路凤凰端子输入接口；≥1路RCA输出、≥1路卡侬输出、≥16路凤凰端子输出接口；≥1个拨码开关、≥1个接地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前面板具有≥5个状态指示灯，可显示有线无线会议单元使用状态；其中≥4个有线会议发言单元通讯指示灯，有线会议单元正常通讯使用为闪烁状态；其中≥1个为无线会议发言单元通讯指示灯，接上无线收发器正常使用进入闪烁状态；未接入设备时不亮，可快速检测链路使用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有≥16路音频输出通道，通过扩展可实现≥272个音频输出通道，音频输出通道可配置为有线角色分离输出模式、无线角色分离输出模式、同传输出模式；每个音频输出通道都能独立调节音频参数，包括≥30级音量调节、≥10段均衡器调节、≥100级延时器调节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7.Lhpass数字会议系统主机具有≥16通道音频分组输出接口；采用会议分区相控技术，可拆分≥16个独立的会议系统使用，也可以组成一个大型的会议系统使用，实现多种方式的会议室合并/拆分。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8.支持主机U盘和客户端软件两种录音方式；搭配会议话筒和录音盒可以录制单个会议单元发言音频和录制所有会议单元混音发言音频。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具有C/S、B/S管控架构，包括客户端、WEB端、本机全彩触摸屏、安卓手机/平板控制方式；通过客户端、WEB端可调节音频矩阵参数（包括EQ、音量、延时器、会议单元灵敏度）、≥16通道输出模式切换、开关会议单元、中英俄法四种语言切换、控制角色分离主机功能；使用本机全彩触摸屏可调节会议模式、有线/无线会议单元开麦数量、编ID、主机/从机设置、中英俄法四种语言切换、显示亮度/输出音量调节、显示剩余使用天数、输入注册码进行主机注册功能；使用安卓手机/平板可控制会议单元开关、开启签到、投票、表决、接收会议服务信息、一键关闭无线会议单元功能，免PC操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10.WEB管理端具有切换个性化主题风格功能，可切换≥4种风格，可选简约主题、政务主题、时尚主题、活力主题，不同主题提供不同UI界面背景颜色。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超大数据处理能力：系统支持≥24台会议单元同时发言，其中支持≥16台有线会议单元和≥8台无线会议单元同时发言；具有自定义会议单元发言人数功能，有线会议单元发言人数范围可设置为等同或优于1至16之间的任意数量；无线会议单元发言人数范围可设置为等同或优于1至8之间的任意数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具有≥3种备份机制；支持主机双机热备功能，可设置一台设备为主机，另一台设置为从机，当主机出现故障时，可自动切换至从机运行，实现双备份功能；支持环形双链路功能，确保在其中的一条网线断开或者单元出问题时，会议能继续正常进行；支持T型链路备份功能，链路中即使多台会议单元出现故障，其他会议单元不受影响，保障会议正常进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13.采用会议系统多环路检测及网络补给技术，实现会议单元手拉手链路出现故障时快速恢复，环路恢复时间≤5ms。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具有C/S、B/S架构管理软件，客户端、WEB端软件均可运行的操作系统版本≥8种，包括Windows7/10/11、银河麒麟桌面操作系统（兆芯版）、银河麒麟桌面操作系统（飞腾版）、macOS系统、统信UOS、Ubuntu桌面版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支持搭配会议话筒处理器使用，主机与话筒处理器之间通过网线连接方式传输音频，可以同时传输≥16路有线会议单元和≥8路无线会议单元发言的音频信号，并提供反馈抑制、智能混音以及自动增益音频调节处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会议主机软件融入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功能和一键还原配置信息功能。</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84F7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D3D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4DB9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7B7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5.14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A234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会议话筒处理器设备服务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31C8C1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具有智能混音、语音检测功能，可以实现≥16个有线会议单元+≥8个无线会议单元同时开启并实时检测会议单元dB值；当发言人讲话时，会议单元自动调整为发言状态，并联动摄像机自动跟踪发言人；当发言人停止讲话时，会议单元自动调整为静音状态，并联动摄像机自动切换到全景画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2.具有≥1个RS485、≥1个RS232接口，可对接摄像机实现摄像跟踪功能；内置≥64个话筒预置位，满足大型会议室摄像跟踪需求。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3.后面板具有≥1个船形开关、≥4个RJ45、≥1个RS485、≥2个RS232、≥1个TYPE-C接口、≥1个拨码开关、≥1路卡侬输出接口和≥2路RCA输出接口；前面板具有≥1个AFC电容触摸开关；≥4个状态指示灯（包括≥1个AFC 功能状态指示灯、≥1个音频信号灯、≥1个处理器工作状态指示灯、≥1个工作电源指示灯）。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处理器与数字会议主机通过网络传输链路传输会议单元音频信号，只需要通过网线即可以接收数字会议单元音频信号，并提供自动增益、自动混音、AFC反馈抑制（≥24个可编程陷波点）、EQ调节（≥31段图示均衡器调节）音频处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5.采用啸叫检测门限更新法，移频+陷波组合反馈抑制方式，具有≥24个可编程陷波点，可自由分配动态/静态点，自动/手动切换。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产品软件与数字会议主机软件集成，可以实现使用同一软件配置数字会议主机和会议话筒处理器；支持搭配音频综合管理平台集中管控各种音频设备，包含数字会议系统软件模块、电子桌牌软件模块、反馈抑制器软件模块、智能混音器软件模块、数字音频处理器软件模块、智控数字专业功放软件模块，各模块打开呈现在状态栏窗口，可快速管理和调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A3C3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FD5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E617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B3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5.15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7C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会议主席话筒设备服务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0E7BBB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1.采用心型指向性驻极体麦克风，要求内部具有DSP音频处理，没有“噗噗”的低频冲击声，内部具有反馈抑制功能，可有效地防止啸叫。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2.采用≥128位AES加密技术，支持 WPA/WPA2 无线安全技术。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3.支持触摸按键签到功能。具备优先权功能，可关闭正在发言的所有代表话筒。具有声控功能。具有发言计时和定时发言功能。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4.具备TYPE-C口，可进行升级程序和在线充电，内置容量锂电池，电池容量≥4800mAh，可持续≥15小时发言。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5.支持后台≥5段EQ调节功能。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6.咪杆长度：380mm（黑色）</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05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06C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A9F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CD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5.16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40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会议席位话筒设备服务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4F6E94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1.采用心型指向性驻极体麦克风，要求内部具有DSP音频处理；内部具有反馈抑制功能。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2.采用≥128位AES加密技术，支持 WPA/WPA2 无线安全技术.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3.支持触摸按键签到功能。具有声控功能。具有发言计时和定时发言功能。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4.具备TYPE-C口，可进行升级程序和在线充电，内置容量锂电池，电池容量≥4800mAh，可持续≥15小时发言。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5.支持后台≥5段EQ调节功能。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6.咪杆长度：≤380mm（黑色）</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1D2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F5B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6C9A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AA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5.17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41C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发射器设备服务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59FC8F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1.遵从Wi-Fi 6协议标准（IEEE 802.11ax），向下兼容802.11a/b/g/n/ac/Wave2，支持MU-MIMO，允许AP同时接收多个终端发送数据，整机最大传输速率可达1.601Gbps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2.支持OFDMA空间复用技术和1024QAM调制解调算法。</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3.支持中文SSID，可指定最长包含≥31个字符的SSID，也可以使用中英文混合的SSID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4.支持WPA3安全协议。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5.支持等同或优于80/160MHz的高带宽频段。</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7BA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146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0F5B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26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5.18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A07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充电箱设备服务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766E2FA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1.充电箱具有≥10个USB接口，支持使用USB线充电，提供5V/9V供电。一端连接充电器一端连接会议单元,支持≥18W快充。支持同时插满所有USB接口。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2.根据设备的耐受电流大小充电器会自动匹配合适的电流大小给设备充电，同时有过流保护功能。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3.智能自动电路保护，所有USB插口均具有短路保护功能和自恢复功能。</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E52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554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EBBC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DFA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5.19 </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AD7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C5E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1.传输速率：10/100Mbps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2.9口百兆8口POE非网管交换机</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305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4C8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0DE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28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5.20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D35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5F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1.尺寸：600X800X1166mm；2.容量：22U；3.配置：8位10A PDU插排一个；固定板1块；风扇部件1组；4只两寸重型脚轮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M6方螺母钉40套；内六角扳手一只</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B13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C9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ECF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34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5.21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EAF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电源管理器设备服务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1B8A513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1.支持≥8通道电源时序打开/关闭，每路动作延时时间：≤1秒，支持远程控制（上电+24V直流信号）8通道电源时序打开/关闭—当电源开关处于off位置时有效。支持配置CH1和CH2通道为受控或不受控状态。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2.当远程控制有效时同时控制后板ALARM（报警）端口导通以起到级联控制ALARM（报警）功能。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3.单个通道最大负载功率≥2200W，所有通道负载总功率≥6000W。输出连接器：多用途电源插座。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4.具有一路及以上USB输出接口。</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A4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31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74C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A1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5.22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09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音频隔离器设备服务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4E01975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1.一款双通道音频隔离器。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2.低底噪、无50Hz交流“嗡”声、无高频“嗞啦”干扰。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3.点对点平衡传输音频，可以选择前面板2个接口中的任意一个COMBO接口输入，从后面板对应COMBO接口输出。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4.即插即用，支持热插拨。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5.隔离滤波音频传输最远传输信号等同或优于450－600米。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6.内置瞬态、浪涌抑制、抗静电保护电路。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7.具有≥2路XLR输入；具有≥2路XLR输出</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0B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9D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45D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B6D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5.23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CF8D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08AC51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3米音频连接线：3.5（耳机插头）-双莲花（RCA）</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B38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F27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77D2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91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5.24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BEC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51F9087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3米音频连接线：3.5（耳机插头）-双6.35话筒插头</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902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317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F68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FB1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5.25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0659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1287FCD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3米音频连接线：卡侬头（母）-卡侬头（公）</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7B6A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1C5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0064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A1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5.26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7DE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5402BF7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3米音频连接线：卡侬头（母）-卡侬头（公）</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BD4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E7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451A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70D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5.27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89A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6C4EBD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3米音频连接线：6.35话筒插头-卡侬头（公）</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5C0D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58B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153B5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68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5.28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882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7C1CFA6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1.8米音频连接线：卡农头（母）-空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1C7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F5F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6A78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21F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5.29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6A8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52BA80A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1.8米音频连接线：6.35话筒插头-空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7C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74C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4A62A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E74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5.30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663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7BBC2A9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1.8米音频连接线：卡农头（公）-空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928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9BC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7F948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79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5.31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3C3E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无线话筒延长线材设备服务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788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直径7.2mm，馈线50-5-1，200/卷</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F75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8B2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0F2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58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5.32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F9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音箱线材设备服务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DC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1.线径：10.0mm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2.芯数：2*307铜芯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3.平方数：2*2.5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4.外被:耐磨 PVC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5.导体: 精选铜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6.100米/卷</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79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FC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8727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3F1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5.33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44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BE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动力电源线三芯多股护套软线</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DA6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FD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68E9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280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5.34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32D4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六类网线线材设备服务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BC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1.六类带屏蔽网线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2.300米/卷</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EBC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8786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8EB4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E8C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5.35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E4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水晶头设备服务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A36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六类水晶头，100个一盒</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2DFA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A7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064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B16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5.36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7F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安装实施及辅材服务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70A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安装实施、传输线缆、信息地插等</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117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87DE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48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378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6、四楼指挥中心液晶拼接屏</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0409A">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8"/>
                <w:szCs w:val="2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F0339">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8"/>
                <w:szCs w:val="28"/>
                <w:u w:val="none"/>
              </w:rPr>
            </w:pPr>
          </w:p>
        </w:tc>
      </w:tr>
      <w:tr w14:paraId="5733F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7F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8F14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液晶拼接屏设备服务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C30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LCD液晶显示单元；LG面板;尺寸：55英寸；分辨率：1920x1080；视角：178°(水平)/ 178°(垂直)；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响应时间：8ms(G to G)；对比度：1000:1；亮度：500cd/㎡；物理拼缝：0.88mm；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输入接口：HDMI × 1, DVI × 1, VGA × 1, CVBS × 1, USB × 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输出接口：HDMI × 1, VGA × 1, CVBS × 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控制接口：RS232 IN × 1，RS232 OUT × 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可选配接口：3G SDI(输入×1、输出×1)、DP、HDbaseT、TVI(输入×1、输出×1)、网络源；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功耗：≤ 185 W；电源要求：AC 100-240V～, 50/60Hz；寿命：≥60000小时；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工作温度和湿度：0℃～40℃，10%～90% RH（无冷凝水）;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外形尺寸：1212.21 (W) mm × 683.06 (H) mm × 69.5 (D) 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边框宽厚：1.3mm（左/上）,0.5mm（右/下）；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大屏排列(长*高)：3.00*3.00 液晶屏对角线尺寸：55寸;液晶屏尺寸(mm): 1212.21*683.06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拼接尺寸(m):3.64*2.05;合计平方数：7.45平方</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9A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02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18C73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9B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6F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大屏控制软件设备服务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D0F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本大屏软件具有强大的集成控制管理能力，可以实现对电视墙等大屏幕系统相关的外围设备的集中联动控制，包括VGA矩阵、HDMI矩阵、模式AV矩阵。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可自行设定拼接屏的横向和纵向的数量；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可兼容市场上大部分的各种矩阵的协议；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能够让大屏视频图像静止观看；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能够控制拼接屏的电源的开关机；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 能够调节图像的亮度、对比度、饱和度、清晰度；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能够调节图像的垂直和水平位置；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支持图像的预案管理；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能够控制大屏的风扇的启动和关闭；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 能够在同一个图形操作界面上即可实现对各种信号窗口的切换、调用、控制应用和管理。</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F3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F2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A8BE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5A0A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1A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背架设备服务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702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3.64*2.05</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88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单元</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0F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289FE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18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28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解码器设备服务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D607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MI分配器，让1个HDMI端口分配出多个HDMI端口的高清音视频分配器。输出的单路信号可以同时连接高清投影机，DLP，LCD高清电视机等音响设备。产品具有信号缓冲、放大能力，输出15米的远距离传输（AWG26）；通过堆叠的方法，可以显著提高HDMI输出端口的数量，支持480p，576p，720p，1080i，1080p，超高清4K分辨率，完全兼容HDCP, 支持蓝光光碟，工业级设计，安装快捷，操作简单；支持USB显示信号源信息(分辨率，刷新速率，图像比例)；支持USB显示分配器工作状态（输入，输出连接状态）；支持手机显示信号源状态；无信号源自动产生彩条，棋盘格图案或其它单色图案，方便检测显示器和调试线缆；自动EDID混合器动态匹配连接显示器最佳模式，杜绝不能显示现象；支持3D/4K@30HZ模式，支持通过USB接口指定显示数据，EDID可以在线更新；支持USB端口IAP在应用线数据升级，固件程序在线更新；支持8种EDID数据固定格式，内置EDID数据格式；支持USB设置相关工作模式并保存；当输入没有信号时，输出可以自动产生测试黑白信号；硬件上增加所有端口的防静电保护。</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15A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53C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FA6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C82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577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高清传输线缆设备服务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D3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HDMI2.0版4K高清线，规格线长：1.5m，接口：HDMI2.0，商品毛重：115.00g，外观特性：圆形，传输速度：兼容HDMI1.4,18Gbps传输速率，外皮性能：常规pvc；</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88C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0D3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6413F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797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F2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高清传输线缆设备服务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A9DB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HDMI2.0版4K高清线，规格线长：10m，接口：HDMI2.0，商品毛重：115.00g，外观特性：圆形，传输速度：兼容HDMI1.4,18Gbps传输速率，外皮性能：常规pvc；</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DA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5E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AEDA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667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672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辅材及实施设备服务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96E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设备器材、线材费；设备安装、调试费；</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EC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9CF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6BC5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90A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7、四楼指挥中心扩声系统</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AB18E">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4"/>
                <w:szCs w:val="24"/>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285E9">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4"/>
                <w:szCs w:val="24"/>
                <w:u w:val="none"/>
              </w:rPr>
            </w:pPr>
          </w:p>
        </w:tc>
      </w:tr>
      <w:tr w14:paraId="5AA58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0A5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DC72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专业功放设备服务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474319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1.标准≤1U机柜式设计；采用PFC+开关电源+D类数字功放设计方案；输出功率：立体声@8Ω：≥500W×2；立体声@4Ω：≥850W×2；桥接@8Ω：≥1700W。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2.开关电源采用LLC谐振电源短路保护电路和D类数字功放一体模块化设计，保证半桥LLC开关电源稳定性和可靠性。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3.支持开机软启动功能，软启动过程中电源需求缓慢上升，减少对电网和其他电子设备的电流冲击。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4.开关电源内置EMI电路，有效的抑制电源谐波，达到欧盟绿色电源标准。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5.数字功放核心的调制和匹配电路技术，让功放还原真实原声。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6.整机转换效率达到85%以上。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7.数字功放电源自适应音频调整节能功能，实现智能削峰限幅器，控制功率模块及扬声器系统在安全范围内工作。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8.MONO /STEREO/BRIDGE三种模式可选择切换。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9.开机软启动，防止开机时向电网吸收大电流，干扰其它用电设备。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10.内置六大保护电路模块，为功放的可靠性保驾护航，具有：过压保护，欠压保护，过流保护，直流保护，输出短路保护，温控风扇等功能。</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44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86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1330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EE5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6776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专业音箱设备服务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1036E2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1.阻抗≤8Ω；2.频响等同或优于55Hz~20KHz；3.额定功率≥300W；4.灵敏度≥98dB/W/M；5.水平覆盖角≥80°，垂直覆盖角≥60°；6.高音≥1.4"压缩高音单元×1；7.低音≥10"低音×1</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73C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D63D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063D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71D7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AFE4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支架设备服务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3D1AA3B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音箱支架</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BE98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422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3D2D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21E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EE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HY系列无线话筒设备服务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220292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1.基于数字U段的传输技术，pi/4-DQPSK调制方式，采用国产主控芯片，传输距离≥80米，接收机具有≥2路平衡输出、≥1路非平衡混音输出；具有混响、均衡、智能静音、音频加密、功率调节功能。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2.具有≥1台接收主机、≥2只手持发射机；频率范围等同或优于470MHz-510MHz、540MHz-590MHz、640MHz-690MHz、807MHz-830MHz四个频段使用。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收机前面板具有≥2个显示屏、≥2个编码旋钮、≥2个频率扫描实体按键、≥2个红外对频实体按键、≥1个电源开关按键、≥1个二合一指示灯（红外发射管+对频指示灯）；后面板具有≥1个LINE-OUT接口、≥2个XLR-OUT接口、≥2个BNC接口、≥1个DC接口。发射机具有≥1个OLED 显示屏、≥1个开关机/静音按键、≥2个工作状态指示灯。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有自动静音功能，麦克风跌落、抛掷时，毫秒级自动静音，避免冲击声；实时监测设备姿态，静置≥5秒静音，≥8分钟关机，无需手动干预。（需提供得到CMA或CNAS认可的检测机构出具的检测报告作为该技术参数证明材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5.具有多档位混响调节功能，混响效果≥15625个，效果占比、回响延时、混响幅度调节，三种音效各具有≥25档调节方式。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6.HY系列无线话筒具有多频段均衡调节功能，均衡调节≥2197种，麦克风均衡器调节功能，具有高、中、低音三种调节档位，每种效果支持≥13档调节。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7.具有长时间续航，发射机使用时长≥10小时。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8.具有ID码防串扰功能，采用32位唯一ID码，用于接收和发射配对，收发ID码必须相同才能对码，能够有效防止相同频率的信号相互串台。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9.接收机具有≥2个2.2英寸的TFT-LCD显示屏；发射机具有≥0.96英寸OLED显示屏，能够显示频率信息、音频加密状态、功率挡位、静音状态、电量格数信息。</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3E0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FCD7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B3B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9298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24F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调音台设备服务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1CFB17E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1.支持≥8路麦克风输入兼容6路线路输入接口，支持≥2路立体声输入接口，≥4路RCA输入，话筒接口幻象电源：+48V。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2.具有≥2组立体声输出、≥4路编组输出、≥4路辅助输出、≥1个耳机监听输出、≥1个接口双路效果输出 、≥1组控制室输出、≥1组主混音断点插入、≥6个断点插入。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3.内置≥24位DSP效果器，提供≥100种预设效果。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4.具备≥13个60mm行程的高精密碳膜推子。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5.内置USB声卡模块，支持连接电脑进行音乐播放和声音录音；内置MP3播放器，支持≥1个USB接口接U盘播放音乐。</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F78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B54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D57A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679A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C0D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629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1.尺寸：600X800X1166mm；2.容量：22U；3.配置：8位10A PDU插排一个；固定板1块；风扇部件1组；4只两寸重型脚轮；M6方螺母钉40套；内六角扳手一只</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8C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55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2CEF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2105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0DD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7EE1452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3米音频连接线：3.5（耳机插头）-双莲花（RCA）</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3BFD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596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6ACF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12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1F3B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4E2979B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3米音频连接线：3.5（耳机插头）-双6.35话筒插头</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62E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C0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D6CB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4C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198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61E6730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1.8米音频连接线：卡农头（母）-空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FE7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657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C3DF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303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7.10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FE3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音频连接线设备服务</w:t>
            </w:r>
          </w:p>
        </w:tc>
        <w:tc>
          <w:tcPr>
            <w:tcW w:w="2677" w:type="pct"/>
            <w:tcBorders>
              <w:top w:val="single" w:color="000000" w:sz="4" w:space="0"/>
              <w:left w:val="nil"/>
              <w:bottom w:val="single" w:color="000000" w:sz="4" w:space="0"/>
              <w:right w:val="single" w:color="000000" w:sz="4" w:space="0"/>
            </w:tcBorders>
            <w:shd w:val="clear" w:color="auto" w:fill="auto"/>
            <w:vAlign w:val="center"/>
          </w:tcPr>
          <w:p w14:paraId="074CB89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1.8米音频连接线：6.35话筒插头-空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A4BC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6CD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674D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1F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7.11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68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音箱线材设备服务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EAA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1.线径：10.0mm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2.芯数：2*307铜芯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3.平方数：2*2.5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4.外被:耐磨 PVC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5.导体: 精选铜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6.100米/卷</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0C5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3A91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EA15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F52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7.12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D86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CEA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动力电源线三芯多股护套软线</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1FE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C241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C282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6B04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7.13 </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939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安装实施及辅材设备服务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DF6F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安装实施、传输线缆、信息地插等</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9E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A77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DB68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BF6DE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8、一号厅广播系统改造（一、二楼）</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D269B">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8"/>
                <w:szCs w:val="2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C115A">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8"/>
                <w:szCs w:val="28"/>
                <w:u w:val="none"/>
              </w:rPr>
            </w:pPr>
          </w:p>
        </w:tc>
      </w:tr>
      <w:tr w14:paraId="02D63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116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D5A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POE扬声器（1楼）设备服务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AA7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1.设备采用一体化天花式网络音频解码音箱设计，内置≥1路网络硬件音频解码模块。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2.额定功率≥8W。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3.支持直流24V备用电源接口，适用于功率需求≥10W或用于非POE网络时提供电源。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4.支持POE供电方式，仅需一根网线连接到POE交换机。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15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545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602B1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54A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C5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网络音柱(1楼）设备服务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097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1.设备采用有源音柱一体化结构设计，内置≥1路网络硬件音频解码模块。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2.集成数字功放模块，输出功率≥15W。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3.具有红外遥控播放本地IP地址功能。</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F7C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9A66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5C1B5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E1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5CA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POE扬声器（2楼）设备服务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85E3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1.设备采用一体化天花式网络音频解码音箱设计，内置≥1路网络硬件音频解码模块。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2.额定功率≥8W。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3.支持直流24V备用电源接口，适用于功率需求≥10W或用于非POE网络时提供电源。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4.支持POE供电方式，仅需一根网线连接到POE交换机。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0A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04A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r>
      <w:tr w14:paraId="2E39D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CAF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91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6BB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六类屏蔽网线，300米/卷</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F82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88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68B5E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3A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5F96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水晶头设备服务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313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六类水晶头，100个一盒</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03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0B6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1BF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F9A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9E8D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DEC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铜芯护套线RVV3*1.5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D983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3E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6AC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142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65B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C36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白色线管A管DN25，4米</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A18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25A7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291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545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156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安装实施及辅材设备服务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8487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线路铺设，设备安装、调试费用；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60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2BC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BF9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7C2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9、LED屏智能配电柜</w:t>
            </w:r>
          </w:p>
        </w:tc>
        <w:tc>
          <w:tcPr>
            <w:tcW w:w="4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E6C0C">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8"/>
                <w:szCs w:val="28"/>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A7D45">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8"/>
                <w:szCs w:val="28"/>
                <w:u w:val="none"/>
              </w:rPr>
            </w:pPr>
          </w:p>
        </w:tc>
      </w:tr>
      <w:tr w14:paraId="7B72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6E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A0A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PLC配电柜（10KW）设备服务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2F0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一、主器件：1.总开关；2.交流接触器；3.输出空开；4.插座；5.漏保开关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二、控制器件：1.PLC模块；2.温湿度传感器；3.热敏电阻；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三、其他：1.指示灯；2.启停按钮；3.两档旋钮；4.急停旋钮；5.烟雾传感器；6.接线排；7.零排；8.地排；9.箱体500*400*160mm</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F3A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1A9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0914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422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BBA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PLC配电柜（30KW）设备服务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322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一、主器件：1.总开关；2.交流接触器；3.输出空开；4.插座；5.漏保开关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二、控制器件：1.PLC模块；2.温湿度传感器；3.热敏电阻；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三、其他：1.指示灯；2.启停按钮；3.两档旋钮；4.急停旋钮；5.烟雾传感器；6.接线排；7.零排；8.地排；9.箱体650*500*200mm</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9D0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AD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732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4F9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A5D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PLC配电柜（50KW)设备服务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EB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一、主器件：1.总开关；2.交流接触器；3.输出空开；4.插座；5.漏保开关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二、控制器件：1.PLC模块；2.温湿度传感器；3.热敏电阻；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三、其他：1.指示灯；2.启停按钮；3.两档旋钮；4.急停旋钮；5.烟雾传感器；6.接线排；7.零排；8.地排；9.箱体650*500*200mm</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240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3A97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47C96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436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805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PLC配电柜（20KW）设备服务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CDE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一、主器件：1.总开关；2.交流接触器；3.输出空开；4.插座；5.漏保开关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二、控制器件：1.PLC模块；2.温湿度传感器；3.热敏电阻；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三、其他：1.指示灯；2.启停按钮；3.两档旋钮；4.急停旋钮；5.烟雾传感器；6.接线排；7.零排；8.地排；9.箱体500*400*160mm</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D8E1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E07C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7B2E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1890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AC1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LED显示模块设备服务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418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双色室内显示屏模组:尺寸：304mm*152mm；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1.像素管直径:3.75mm;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2.点间距:4.75mm;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3.发光点颜色:1红1绿: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4.密度:44320点像素/m2;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5.可显示内容:文字: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6.LED驱动方式:1/16扫描驱动: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7.刷新频率:≥120帧/秒;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8.亮度:≥150cd/m2;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9.供电工作电压:220V;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10.通讯方式:网口通讯10M/100M自适应;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11.输出接口:标准50P输出。</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265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DC77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20504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32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1F9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安装实施及辅材设备服务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3C4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线路铺设，设备安装、调试费用；</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2BF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7FD1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8A23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nil"/>
            </w:tcBorders>
            <w:shd w:val="clear" w:color="auto" w:fill="FFFFFF"/>
            <w:noWrap/>
            <w:vAlign w:val="center"/>
          </w:tcPr>
          <w:p w14:paraId="6E0FF1D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三、临沧市机关事务服务中心无纸化会议系统服务</w:t>
            </w:r>
          </w:p>
        </w:tc>
        <w:tc>
          <w:tcPr>
            <w:tcW w:w="421" w:type="pct"/>
            <w:tcBorders>
              <w:top w:val="single" w:color="000000" w:sz="4" w:space="0"/>
              <w:left w:val="nil"/>
              <w:bottom w:val="single" w:color="000000" w:sz="4" w:space="0"/>
              <w:right w:val="nil"/>
            </w:tcBorders>
            <w:shd w:val="clear" w:color="auto" w:fill="FFFFFF"/>
            <w:noWrap/>
            <w:vAlign w:val="center"/>
          </w:tcPr>
          <w:p w14:paraId="668D7D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8"/>
                <w:szCs w:val="28"/>
                <w:u w:val="none"/>
              </w:rPr>
            </w:pPr>
          </w:p>
        </w:tc>
        <w:tc>
          <w:tcPr>
            <w:tcW w:w="442" w:type="pct"/>
            <w:tcBorders>
              <w:top w:val="single" w:color="000000" w:sz="4" w:space="0"/>
              <w:left w:val="nil"/>
              <w:bottom w:val="single" w:color="000000" w:sz="4" w:space="0"/>
              <w:right w:val="nil"/>
            </w:tcBorders>
            <w:shd w:val="clear" w:color="auto" w:fill="FFFFFF"/>
            <w:noWrap/>
            <w:vAlign w:val="center"/>
          </w:tcPr>
          <w:p w14:paraId="16EB7B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8"/>
                <w:szCs w:val="28"/>
                <w:u w:val="none"/>
              </w:rPr>
            </w:pPr>
          </w:p>
        </w:tc>
      </w:tr>
      <w:tr w14:paraId="6CAB1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nil"/>
              <w:left w:val="single" w:color="000000" w:sz="4" w:space="0"/>
              <w:bottom w:val="single" w:color="000000" w:sz="4" w:space="0"/>
              <w:right w:val="single" w:color="000000" w:sz="4" w:space="0"/>
            </w:tcBorders>
            <w:shd w:val="clear" w:color="auto" w:fill="auto"/>
            <w:noWrap/>
            <w:vAlign w:val="center"/>
          </w:tcPr>
          <w:p w14:paraId="4B9C30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5" w:type="pct"/>
            <w:tcBorders>
              <w:top w:val="nil"/>
              <w:left w:val="single" w:color="000000" w:sz="4" w:space="0"/>
              <w:bottom w:val="single" w:color="000000" w:sz="4" w:space="0"/>
              <w:right w:val="single" w:color="000000" w:sz="4" w:space="0"/>
            </w:tcBorders>
            <w:shd w:val="clear" w:color="auto" w:fill="auto"/>
            <w:vAlign w:val="center"/>
          </w:tcPr>
          <w:p w14:paraId="64A2A8E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无纸化后台管理服务器设备服务</w:t>
            </w:r>
          </w:p>
        </w:tc>
        <w:tc>
          <w:tcPr>
            <w:tcW w:w="2677" w:type="pct"/>
            <w:tcBorders>
              <w:top w:val="nil"/>
              <w:left w:val="single" w:color="000000" w:sz="4" w:space="0"/>
              <w:bottom w:val="single" w:color="000000" w:sz="4" w:space="0"/>
              <w:right w:val="single" w:color="000000" w:sz="4" w:space="0"/>
            </w:tcBorders>
            <w:shd w:val="clear" w:color="auto" w:fill="FFFFFF"/>
            <w:vAlign w:val="center"/>
          </w:tcPr>
          <w:p w14:paraId="3771CD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1.标准2U机架式；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2.硬件配置不低于： 国产兆芯kx-u6780A处理器、内存8G、硬盘采用1T机械硬盘；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3.接口不低于：2个USB，1个电源键，1个重启键，1个电源灯，一个硬盘灯；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4.网络：不少于2*10/100/1000MbpsLANRJ45；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5.电源：采用DCATX24+8供电，支持S0、S1.S4.S5，支持国产自主安全固件、国产操作系统、安全可信模块，保护用户私密数据信息；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6.输入电压交流：50-60HZ，220V±10%V；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7.工作环境温度：0一60度，存储环境温度：-20一70度。</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D2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941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936A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E07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683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国产无纸化后台管理系统设备服务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EAD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1.管理人员可通过浏览器远程访问无纸化后台，同时管理多个无纸化会议室；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2.具备数据库备份及恢复、会议文件、系统日志备份（定时机制、手动备份），系统崩溃后，能够指定恢复到就近备份节点；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3.具备设置终端软件中的快捷浮窗中是否有：开始主讲、返回桌面、快捷批注、数据展板、视频会议、外部信号与会议标语等功能按键。可配置数据展板访问页面，配置终端打开第三方软件路径；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4.为方便会务人员快速建会，要求如下；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1)后台具备快速建会功能，会务人员登录后台后，只需点击快速建会按键，上传建会文件夹，系统根据用户单位的议程表安排，可自动完成建会，建会时间≤10秒；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2)建会后，终端能自动生成会议信息，包括但不限于：会议主题、会议地点、会议时间、主持人、参会人员、列席人员、请假人员等会议信息；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3)建会后，上传后的议题、议程与会议材料会自动根据议程表的会议安排顺序，进行排序及展示，无需人为干预；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4)建会后，系统自动根据议程表添加参会人员，同时进行座次关联安排，自动分配参会人员会控、阅文、同屏、异步、签到、投票等权限；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5)建会后，系统根据议程表安排，终端可自动显示议题或议程下的：汇报人、列席人、承办部门、汇报时间等备注信息，同时具备自定义设置；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6)建会后，系统根据议程表系统自动生成投票表决，同时关联到相关议题或议程中；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5.会议归档与查询开发需满足：参会人员会后可通过浏览器登录后台，查看自己参加过的历次会议文件、批注文件、投票表决结果、会议记录与会议纪要；结束过的会议可再次重新启动。</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53C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C50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332C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6BC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980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无纸化客户端软件设备服务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BEC7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1.平板管控，具备通过无纸化管理后台，直接控制平板的WIFI功能、蓝牙功能、录音功能、应用发送通知、截屏、导航栏、任务键、HOME 键、电源键、返回键、系统顶部状态栏、系统控制中心等权限；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2.具备随时更换任何一个平板简易入会，同时被替换的平板的会议全部内容转移到新的平板上；具备显示有权限参加的任何会议，参会人员在多个会议中无缝切换直接入会，会议软件与平板不锁定；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3.软件首页需满足以下要求；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1)页面显示内容包括但不限于：会议主题、参会人员、警示语、滚动提示语与进入系统按键，同时具备字体设置、字号与显示位置调整；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2)根据会议要求，具备显示人名或仅显示会议主题的功能，有的会议不需要安排人员座位，方便直接入座；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具备拖拽快捷浮窗按键，按键中包含：发起主讲、返回桌面、快捷批注、数据展板、视频会议、跟踪主讲、外部信号、会议标语功能按键，点击数据展板后可直接打开外部信息，方便查阅；点击视频会议可在会议系统界面直接启动第三方应用，点击会议标语后可控制大屏幕显示的会议标语；</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5.进入系统后功能页面需满足以下要求：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1)进入系统后的功能页面与单位的会议议程表必须一模一样，方便参会人员操作使用；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2)功能页面中的：会议主题、会议信息、议题与议程、会议文件、备注信息等都可以根据单位公文字体要求进行自定义设置，设置内容包括但不限于：字体、字号、加粗与颜色等；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6.具备议题界面仿公文设计功能，软件能设置会议信息与议题界面的字体，也可以编辑会议标题、每级议题、议题数量提示、议题文件名称的字体、颜色、字号等；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7.具备点击进入会议后能打开当前启动议题下的第一个文件；若无启动议题，默认打开的是第一个议题的第一个文件；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8.阅文需满足以下要求：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1)会议文件具备两种打开方式，上传的WPS文件与OFD公文格式文件具备自动转换成统一的阅文版式文件打开，也具备采用第三方办公软件打开；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2)阅文版式文件具备一比一进行文件转换与显示，必须保留与原会议文件一样的字体、间距、行距与大小，不得改变；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3)具备不少于七种阅文方式：长文件具备目录导航阅文；阅文时可添加收藏；阅文时可输入页码跳转；阅文时可上下翻页；阅文时可通过页码拖动快速翻页；阅文时具备手势放大缩小；阅文时可通过滑动缩略图快速阅文。以上阅文是采用分屏操作，左边可以选择阅文方式，右边显示文件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4)具备设置发言倒计时提醒功能，同时具备在最后10秒闪烁提醒发言者；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具备原文批注，批注时具备手笔分离，提笔写字，用手翻页，屏幕能自动识别触控屏幕的是手还是笔，批注记录自动保存到文件中，批注时无需其他识别性操作。同时具备交互批注，同一份文件，多人批注后软件自动分配不同的颜色，最后保存在发起端，会议秘书再次打开批注文件后能识别批注的人与他批注的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软件具备参会人员没有同屏权限就没有【开始主讲】按键，会场没有同步信号就没有【跟随主讲】按键，没有异步权限就没有【观看本地】按键；软件具备在任何界面都可进行一键快速同步，具备会场中任何座位都可以作为汇报席，将终端的屏幕同步给会场其他终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11.会议结束后统计开发需满足：数据统计，可统计出本场会议节约多少纸张，减少多少碳排放，同时，统计本会场一共节约了多少纸张与减少了多少碳排放等，统计结果科学合理。</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403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90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r>
      <w:tr w14:paraId="4D981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26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C654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平板充电柜设备服务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45B2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1.整机支持≥60台设备同时充电，主体材质：冷轧碳素钢与环保ABS工程塑料相结合，采用全封闭防盗结构、工艺上耐酸碱腐蚀、耐磨、防静电等；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2.整机具备：防过充保护芯片，智能温控系统、密码锁，可拆卸静音轮，通电指示灯，一键断电开关；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3.采用密码锁，开关柜门采用≥3位密码锁控制；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4.独立供电：采用大功率高稳定性独立电源模块供电，智能匹配充电，具备：过充保护，过热保护，漏电保护，过流保护，过载保护，短路保护，高压保护，回路保护，断电保护；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5.主动温控：内置温控芯片，当充电仓内温度达到38°，散热风扇开启散热，当温度降下风扇停止，直接降低能耗和硬件磨损并达到散热降温目的；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6.强弱电分离：正常使用无法接触强电部分，前舱为平板放置充电区域，无强电；后舱为电源管理控制区域，由专业管理人员控制；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7.柜内采用高品质无氧铜线，精炼纯无氧铜，线芯柔软，色泽明亮，导电性强，电压稳定不发烫，电阻更低，寿命更长；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8.充电线采用弯尾充电短线，长度≤20厘米，解决充电线凌乱，让充电更干净利索，避免安全隐患；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9.工作环境温度：-25℃~45℃；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10.储存温度：-30℃~70℃；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11.相对湿度：5%~95%不结霜；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12.输入电压范围：220Vac±20%；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13.输入电源频率：50HZ±2；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14、电源功率：600W；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15、单口输出功率 5V-2.2A（协议识别）。</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13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B2B4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E1D1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688E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0AE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智能信号管控主机设备服务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9CFF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1.标准机架式。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2.采用国产处理器，主频≥1.8GHz，内嵌高清、标清视频信号处理模块，同步、异步处理视频信号输入、输出，同时搭载音频处理器， 7*24 小时无人值守；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3.搭配无纸化系统共同使用，具备根据使用需求自动进行：信号显示，签到实时数据显示，标语显示，投票表决结果统计与显示，评分、测评统计结果显示；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4.通过有线网络组网，任何终端的同屏画面可通过HDMI输出到大屏幕进行同步显示，通过HDMI输入接口可将矩阵输入的信号同屏到所有会议终端进行同步显示；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5.具备终端同步画面中的声音通过3.5mm立体声接口输出到扩音设备，同时外部笔记本在播放带有音频的文件时，声音可以通过此3.5mm立体声输出到扩音设备；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6.会控机启动议题后，大屏幕自动显示启动的会议议题名称；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7.当会场无同步信号时，输出画面为会控机控制显示的会议标语画面，会控机可根据会议进程切换不同的会议标语进行显示；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8.后置接口不少于：1*HDMI输出、1路HDMI输入，1个 RJ45 网口，一个RJ45-232控制网口，1*mic莲花接口，工作电源：AC220, 50Hz/60Hz。</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574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84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94CB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55D5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68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网关设备服务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59D5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桌面式，≥10口全2.5G PoE路由器，固化10个2.5GE电口（含8个PoE口），带终端数≥300台，带宽5Gbps，整机PoE最大输出功率125W，单端口最大输出功率30W，内置AC功能，支持管理AP数≥200；支持7IPSec VPN、L2TP VPN，支持短信、微信公众号、账号等多种接入认证方式（需配合云平台），支持应用流控、应用阻断，支持web、云平台与APP管理。</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1D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91B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2854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C70D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396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无线AP设备服务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8166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≥6500M三频六流Wi-Fi 7高密AP，1个2.5G WAN/PoE上联端口，最大接入用户数</w:t>
            </w:r>
            <w:r>
              <w:rPr>
                <w:rStyle w:val="10"/>
                <w:lang w:val="en-US" w:eastAsia="zh-CN" w:bidi="ar"/>
              </w:rPr>
              <w:t>≥</w:t>
            </w:r>
            <w:r>
              <w:rPr>
                <w:rStyle w:val="11"/>
                <w:lang w:val="en-US" w:eastAsia="zh-CN" w:bidi="ar"/>
              </w:rPr>
              <w:t>110（平均带宽2-4Mbps），无线终端最大接入数为384（理论值），建议覆盖半径20-25m（空旷），自组网网元个数32，支持802.11a/b/g/n/ac/ax/be协议。支持APP管理，支持 PoE供电和本地供电。</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CFD4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7620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67BC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2664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CEF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机柜设备服务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CED8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1.满足服务器、信号管控主机、网关等相关设备安装使用；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2.可移动式，满足不固定会场的需求。</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02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9E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64AE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D5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00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会议平板一设备服务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508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1.屏幕尺寸：≥13.2英寸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2.运行内存：≥12GB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3.机身内存：≥256GB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4.电池：≥10000mAh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5.WLAN频率：2.4GHz和5GHz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6.内置重力传感器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7.立体扬声器*6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8.支持100W快充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9.含磁吸三折叠皮套</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954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D93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r>
      <w:tr w14:paraId="0CC7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C94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4E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会议平板二设备服务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1299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1.屏幕尺寸：≥12.2英寸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2.运行内存：≥12GB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3.机身内存：≥256GB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4.电池：≥10000mAh</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5.WLAN频率：2.4GHz和5GHz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6.内置重力传感器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7.立体扬声器*4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8.支持100W快充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9.含磁吸三折叠皮套</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4A3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B5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14:paraId="13A77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EF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75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手写笔设备服务</w:t>
            </w:r>
          </w:p>
        </w:tc>
        <w:tc>
          <w:tcPr>
            <w:tcW w:w="26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4D2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1.平板原装适配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2.支持磁吸配对、无线充电</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5E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ED31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r>
      <w:tr w14:paraId="75A98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nil"/>
              <w:right w:val="single" w:color="000000" w:sz="4" w:space="0"/>
            </w:tcBorders>
            <w:shd w:val="clear" w:color="auto" w:fill="auto"/>
            <w:noWrap/>
            <w:vAlign w:val="center"/>
          </w:tcPr>
          <w:p w14:paraId="699A9E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15" w:type="pct"/>
            <w:tcBorders>
              <w:top w:val="single" w:color="000000" w:sz="4" w:space="0"/>
              <w:left w:val="single" w:color="000000" w:sz="4" w:space="0"/>
              <w:bottom w:val="nil"/>
              <w:right w:val="single" w:color="000000" w:sz="4" w:space="0"/>
            </w:tcBorders>
            <w:shd w:val="clear" w:color="auto" w:fill="auto"/>
            <w:noWrap/>
            <w:vAlign w:val="center"/>
          </w:tcPr>
          <w:p w14:paraId="270149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会控笔记本电脑设备服务</w:t>
            </w:r>
          </w:p>
        </w:tc>
        <w:tc>
          <w:tcPr>
            <w:tcW w:w="2677" w:type="pct"/>
            <w:tcBorders>
              <w:top w:val="single" w:color="000000" w:sz="4" w:space="0"/>
              <w:left w:val="single" w:color="000000" w:sz="4" w:space="0"/>
              <w:bottom w:val="nil"/>
              <w:right w:val="single" w:color="000000" w:sz="4" w:space="0"/>
            </w:tcBorders>
            <w:shd w:val="clear" w:color="auto" w:fill="FFFFFF"/>
            <w:vAlign w:val="center"/>
          </w:tcPr>
          <w:p w14:paraId="71D4072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1.屏幕尺寸：≥14英寸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2.不低于core5处理器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3.内存≥32GB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4.存储≥1TB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5.集成显卡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6.WLAN：IEEE 802.11a/b/g/n/ac/ax，160MHz；2.4GHz和5GHz 双频；2×2 MIMO；支持WPA/WPA2/WPA3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7.接口：USB-C 3.2 Gen1×1，USB-A 3.2 Gen1×1，USB-A 2.0×1，HDMI×1，3.5mm耳机&amp;麦克风二合一接口×1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8.全尺寸键盘，1.5mm键程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9.支持指纹解锁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10.扬声器x2，麦克风x2</w:t>
            </w:r>
          </w:p>
        </w:tc>
        <w:tc>
          <w:tcPr>
            <w:tcW w:w="421" w:type="pct"/>
            <w:tcBorders>
              <w:top w:val="single" w:color="000000" w:sz="4" w:space="0"/>
              <w:left w:val="single" w:color="000000" w:sz="4" w:space="0"/>
              <w:bottom w:val="nil"/>
              <w:right w:val="single" w:color="000000" w:sz="4" w:space="0"/>
            </w:tcBorders>
            <w:shd w:val="clear" w:color="auto" w:fill="auto"/>
            <w:noWrap/>
            <w:vAlign w:val="center"/>
          </w:tcPr>
          <w:p w14:paraId="2FDB872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nil"/>
              <w:right w:val="single" w:color="000000" w:sz="4" w:space="0"/>
            </w:tcBorders>
            <w:shd w:val="clear" w:color="auto" w:fill="auto"/>
            <w:noWrap/>
            <w:vAlign w:val="center"/>
          </w:tcPr>
          <w:p w14:paraId="3728EC1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16ECF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135" w:type="pct"/>
            <w:gridSpan w:val="3"/>
            <w:tcBorders>
              <w:top w:val="single" w:color="000000" w:sz="4" w:space="0"/>
              <w:left w:val="single" w:color="000000" w:sz="4" w:space="0"/>
              <w:bottom w:val="single" w:color="000000" w:sz="4" w:space="0"/>
              <w:right w:val="nil"/>
            </w:tcBorders>
            <w:shd w:val="clear" w:color="auto" w:fill="FFFFFF"/>
            <w:noWrap/>
            <w:vAlign w:val="center"/>
          </w:tcPr>
          <w:p w14:paraId="3AAF36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四、中共临沧市委办公室党政机关视频会议系统升级服务</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767A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4"/>
                <w:szCs w:val="24"/>
                <w:u w:val="none"/>
              </w:rPr>
            </w:pPr>
          </w:p>
        </w:tc>
        <w:tc>
          <w:tcPr>
            <w:tcW w:w="4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5AE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4"/>
                <w:szCs w:val="24"/>
                <w:u w:val="none"/>
              </w:rPr>
            </w:pPr>
          </w:p>
        </w:tc>
      </w:tr>
      <w:tr w14:paraId="7EDBB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nil"/>
              <w:right w:val="single" w:color="000000" w:sz="4" w:space="0"/>
            </w:tcBorders>
            <w:shd w:val="clear" w:color="auto" w:fill="auto"/>
            <w:noWrap/>
            <w:vAlign w:val="center"/>
          </w:tcPr>
          <w:p w14:paraId="1F9EA8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5" w:type="pct"/>
            <w:tcBorders>
              <w:top w:val="single" w:color="000000" w:sz="4" w:space="0"/>
              <w:left w:val="single" w:color="000000" w:sz="4" w:space="0"/>
              <w:bottom w:val="nil"/>
              <w:right w:val="single" w:color="000000" w:sz="4" w:space="0"/>
            </w:tcBorders>
            <w:shd w:val="clear" w:color="auto" w:fill="auto"/>
            <w:vAlign w:val="center"/>
          </w:tcPr>
          <w:p w14:paraId="0AA25E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高清视频会议终端设备服务</w:t>
            </w:r>
          </w:p>
        </w:tc>
        <w:tc>
          <w:tcPr>
            <w:tcW w:w="2677" w:type="pct"/>
            <w:tcBorders>
              <w:top w:val="single" w:color="000000" w:sz="4" w:space="0"/>
              <w:left w:val="single" w:color="000000" w:sz="4" w:space="0"/>
              <w:bottom w:val="nil"/>
              <w:right w:val="single" w:color="000000" w:sz="4" w:space="0"/>
            </w:tcBorders>
            <w:shd w:val="clear" w:color="auto" w:fill="FFFFFF"/>
            <w:vAlign w:val="center"/>
          </w:tcPr>
          <w:p w14:paraId="4477AA5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1.视频会议终端须支持无缝接入临沧市党政机关电子政务视频会议系统，满足直连互通需求。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2.终端采用嵌入式操作系统。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3.支持H.264视频编解码协议。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4.视频分辨率支持1080P@30fps、720P，且能够向下兼容。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5.不少于2路高清视频输入和1路高清视频输出，须具有HDMI接口。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6.不少于2路音频输入和2路音频输出。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7.须支持唇音同步、自动噪声抑制、快速自适应回声消除功能。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8.须支持多终端动态辅流功能，且辅流分辨率不低于1080P@30fps。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9.支持多画面功能，在一组会议中，具有权限的终端须能够任意选择及组合所收看画面，且支持不少于2种画面组合显示模式。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10.须支持远程获取和配置参数，支持远程导出和导入配置文件功能；支持远程获取系统运行状态、系统日志。</w:t>
            </w:r>
          </w:p>
        </w:tc>
        <w:tc>
          <w:tcPr>
            <w:tcW w:w="421" w:type="pct"/>
            <w:tcBorders>
              <w:top w:val="single" w:color="000000" w:sz="4" w:space="0"/>
              <w:left w:val="single" w:color="000000" w:sz="4" w:space="0"/>
              <w:bottom w:val="nil"/>
              <w:right w:val="single" w:color="000000" w:sz="4" w:space="0"/>
            </w:tcBorders>
            <w:shd w:val="clear" w:color="auto" w:fill="auto"/>
            <w:noWrap/>
            <w:vAlign w:val="center"/>
          </w:tcPr>
          <w:p w14:paraId="47C35E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nil"/>
              <w:right w:val="single" w:color="000000" w:sz="4" w:space="0"/>
            </w:tcBorders>
            <w:shd w:val="clear" w:color="auto" w:fill="auto"/>
            <w:noWrap/>
            <w:vAlign w:val="center"/>
          </w:tcPr>
          <w:p w14:paraId="302731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63C6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nil"/>
              <w:right w:val="single" w:color="000000" w:sz="4" w:space="0"/>
            </w:tcBorders>
            <w:shd w:val="clear" w:color="auto" w:fill="auto"/>
            <w:noWrap/>
            <w:vAlign w:val="center"/>
          </w:tcPr>
          <w:p w14:paraId="3B66F4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15" w:type="pct"/>
            <w:tcBorders>
              <w:top w:val="single" w:color="000000" w:sz="4" w:space="0"/>
              <w:left w:val="single" w:color="000000" w:sz="4" w:space="0"/>
              <w:bottom w:val="nil"/>
              <w:right w:val="single" w:color="000000" w:sz="4" w:space="0"/>
            </w:tcBorders>
            <w:shd w:val="clear" w:color="auto" w:fill="auto"/>
            <w:vAlign w:val="center"/>
          </w:tcPr>
          <w:p w14:paraId="30E1E72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高清视频会议摄像机设备服务</w:t>
            </w:r>
          </w:p>
        </w:tc>
        <w:tc>
          <w:tcPr>
            <w:tcW w:w="2677" w:type="pct"/>
            <w:tcBorders>
              <w:top w:val="single" w:color="000000" w:sz="4" w:space="0"/>
              <w:left w:val="single" w:color="000000" w:sz="4" w:space="0"/>
              <w:bottom w:val="nil"/>
              <w:right w:val="single" w:color="000000" w:sz="4" w:space="0"/>
            </w:tcBorders>
            <w:shd w:val="clear" w:color="auto" w:fill="FFFFFF"/>
            <w:vAlign w:val="center"/>
          </w:tcPr>
          <w:p w14:paraId="70A9ED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1.会议摄像机须与视频会议终端为同一品牌产品。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2.光学变焦需不低于12倍，分辨率不低于1080P，像素不低于200万。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3.须具有HDMI或DVI接口。</w:t>
            </w:r>
          </w:p>
        </w:tc>
        <w:tc>
          <w:tcPr>
            <w:tcW w:w="421" w:type="pct"/>
            <w:tcBorders>
              <w:top w:val="single" w:color="000000" w:sz="4" w:space="0"/>
              <w:left w:val="single" w:color="000000" w:sz="4" w:space="0"/>
              <w:bottom w:val="nil"/>
              <w:right w:val="single" w:color="000000" w:sz="4" w:space="0"/>
            </w:tcBorders>
            <w:shd w:val="clear" w:color="auto" w:fill="auto"/>
            <w:noWrap/>
            <w:vAlign w:val="center"/>
          </w:tcPr>
          <w:p w14:paraId="450663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nil"/>
              <w:right w:val="single" w:color="000000" w:sz="4" w:space="0"/>
            </w:tcBorders>
            <w:shd w:val="clear" w:color="auto" w:fill="auto"/>
            <w:noWrap/>
            <w:vAlign w:val="center"/>
          </w:tcPr>
          <w:p w14:paraId="4DB3E2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C7C6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nil"/>
              <w:right w:val="single" w:color="000000" w:sz="4" w:space="0"/>
            </w:tcBorders>
            <w:shd w:val="clear" w:color="auto" w:fill="auto"/>
            <w:noWrap/>
            <w:vAlign w:val="center"/>
          </w:tcPr>
          <w:p w14:paraId="6AF2C8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5" w:type="pct"/>
            <w:tcBorders>
              <w:top w:val="single" w:color="000000" w:sz="4" w:space="0"/>
              <w:left w:val="single" w:color="000000" w:sz="4" w:space="0"/>
              <w:bottom w:val="nil"/>
              <w:right w:val="single" w:color="000000" w:sz="4" w:space="0"/>
            </w:tcBorders>
            <w:shd w:val="clear" w:color="auto" w:fill="auto"/>
            <w:vAlign w:val="center"/>
          </w:tcPr>
          <w:p w14:paraId="200380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摄像机支架设备服务</w:t>
            </w:r>
          </w:p>
        </w:tc>
        <w:tc>
          <w:tcPr>
            <w:tcW w:w="2677" w:type="pct"/>
            <w:tcBorders>
              <w:top w:val="single" w:color="000000" w:sz="4" w:space="0"/>
              <w:left w:val="single" w:color="000000" w:sz="4" w:space="0"/>
              <w:bottom w:val="nil"/>
              <w:right w:val="single" w:color="000000" w:sz="4" w:space="0"/>
            </w:tcBorders>
            <w:shd w:val="clear" w:color="auto" w:fill="FFFFFF"/>
            <w:vAlign w:val="center"/>
          </w:tcPr>
          <w:p w14:paraId="60BB373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国产定制可伸缩支架，管粗:2.8cm，高度:1.8米</w:t>
            </w:r>
          </w:p>
        </w:tc>
        <w:tc>
          <w:tcPr>
            <w:tcW w:w="421" w:type="pct"/>
            <w:tcBorders>
              <w:top w:val="single" w:color="000000" w:sz="4" w:space="0"/>
              <w:left w:val="single" w:color="000000" w:sz="4" w:space="0"/>
              <w:bottom w:val="nil"/>
              <w:right w:val="single" w:color="000000" w:sz="4" w:space="0"/>
            </w:tcBorders>
            <w:shd w:val="clear" w:color="auto" w:fill="auto"/>
            <w:noWrap/>
            <w:vAlign w:val="center"/>
          </w:tcPr>
          <w:p w14:paraId="39F15D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nil"/>
              <w:right w:val="single" w:color="000000" w:sz="4" w:space="0"/>
            </w:tcBorders>
            <w:shd w:val="clear" w:color="auto" w:fill="auto"/>
            <w:noWrap/>
            <w:vAlign w:val="center"/>
          </w:tcPr>
          <w:p w14:paraId="1CAF77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72385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1A9F1E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15" w:type="pct"/>
            <w:tcBorders>
              <w:top w:val="single" w:color="000000" w:sz="4" w:space="0"/>
              <w:left w:val="single" w:color="000000" w:sz="4" w:space="0"/>
              <w:bottom w:val="single" w:color="auto" w:sz="4" w:space="0"/>
              <w:right w:val="single" w:color="000000" w:sz="4" w:space="0"/>
            </w:tcBorders>
            <w:shd w:val="clear" w:color="auto" w:fill="auto"/>
            <w:vAlign w:val="center"/>
          </w:tcPr>
          <w:p w14:paraId="3B8E26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定向鹅颈麦克风设备服务</w:t>
            </w:r>
          </w:p>
        </w:tc>
        <w:tc>
          <w:tcPr>
            <w:tcW w:w="2677" w:type="pct"/>
            <w:tcBorders>
              <w:top w:val="single" w:color="000000" w:sz="4" w:space="0"/>
              <w:left w:val="single" w:color="000000" w:sz="4" w:space="0"/>
              <w:bottom w:val="single" w:color="auto" w:sz="4" w:space="0"/>
              <w:right w:val="single" w:color="000000" w:sz="4" w:space="0"/>
            </w:tcBorders>
            <w:shd w:val="clear" w:color="auto" w:fill="FFFFFF"/>
            <w:vAlign w:val="center"/>
          </w:tcPr>
          <w:p w14:paraId="3F990C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1.会议麦克风须与视频会议终端为同一品牌产品。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2.频率响应范围100Hz—16000Hz。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3.输出阻抗≥100Ω，灵敏度-40dB±2dB。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4.须支持卡侬口。</w:t>
            </w:r>
          </w:p>
        </w:tc>
        <w:tc>
          <w:tcPr>
            <w:tcW w:w="421"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119475F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442"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16DBCC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9183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475F0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5" w:type="pct"/>
            <w:tcBorders>
              <w:top w:val="single" w:color="auto" w:sz="4" w:space="0"/>
              <w:left w:val="single" w:color="auto" w:sz="4" w:space="0"/>
              <w:bottom w:val="single" w:color="auto" w:sz="4" w:space="0"/>
              <w:right w:val="single" w:color="auto" w:sz="4" w:space="0"/>
            </w:tcBorders>
            <w:shd w:val="clear" w:color="auto" w:fill="auto"/>
            <w:vAlign w:val="center"/>
          </w:tcPr>
          <w:p w14:paraId="5676CB2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运营商专线网络设备服务</w:t>
            </w:r>
          </w:p>
        </w:tc>
        <w:tc>
          <w:tcPr>
            <w:tcW w:w="2677" w:type="pct"/>
            <w:tcBorders>
              <w:top w:val="single" w:color="auto" w:sz="4" w:space="0"/>
              <w:left w:val="single" w:color="auto" w:sz="4" w:space="0"/>
              <w:bottom w:val="single" w:color="auto" w:sz="4" w:space="0"/>
              <w:right w:val="single" w:color="auto" w:sz="4" w:space="0"/>
            </w:tcBorders>
            <w:shd w:val="clear" w:color="auto" w:fill="FFFFFF"/>
            <w:vAlign w:val="center"/>
          </w:tcPr>
          <w:p w14:paraId="6871E4B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提供不低于10M数据专线链路服务</w:t>
            </w:r>
          </w:p>
        </w:tc>
        <w:tc>
          <w:tcPr>
            <w:tcW w:w="42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F675F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条/年</w:t>
            </w:r>
          </w:p>
        </w:tc>
        <w:tc>
          <w:tcPr>
            <w:tcW w:w="4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CFF7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5F779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07970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5" w:type="pct"/>
            <w:tcBorders>
              <w:top w:val="single" w:color="auto" w:sz="4" w:space="0"/>
              <w:left w:val="single" w:color="auto" w:sz="4" w:space="0"/>
              <w:bottom w:val="single" w:color="auto" w:sz="4" w:space="0"/>
              <w:right w:val="single" w:color="auto" w:sz="4" w:space="0"/>
            </w:tcBorders>
            <w:shd w:val="clear" w:color="auto" w:fill="auto"/>
            <w:vAlign w:val="center"/>
          </w:tcPr>
          <w:p w14:paraId="4F738B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视频会议升级辅材设备服务</w:t>
            </w:r>
          </w:p>
        </w:tc>
        <w:tc>
          <w:tcPr>
            <w:tcW w:w="2677" w:type="pct"/>
            <w:tcBorders>
              <w:top w:val="single" w:color="auto" w:sz="4" w:space="0"/>
              <w:left w:val="single" w:color="auto" w:sz="4" w:space="0"/>
              <w:bottom w:val="single" w:color="auto" w:sz="4" w:space="0"/>
              <w:right w:val="single" w:color="auto" w:sz="4" w:space="0"/>
            </w:tcBorders>
            <w:shd w:val="clear" w:color="auto" w:fill="FFFFFF"/>
            <w:vAlign w:val="center"/>
          </w:tcPr>
          <w:p w14:paraId="779C13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设备运输，PVC管、扎带、压条、插板、HDMI线等辅材</w:t>
            </w:r>
          </w:p>
        </w:tc>
        <w:tc>
          <w:tcPr>
            <w:tcW w:w="42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6764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44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4AEB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bl>
    <w:p w14:paraId="2C343E92">
      <w:pPr>
        <w:pStyle w:val="2"/>
        <w:ind w:left="0" w:leftChars="0" w:firstLine="0" w:firstLineChars="0"/>
        <w:rPr>
          <w:rFonts w:hint="default"/>
          <w:lang w:val="en-US" w:eastAsia="zh-CN"/>
        </w:rPr>
      </w:pPr>
    </w:p>
    <w:p w14:paraId="1412AEF8">
      <w:pPr>
        <w:rPr>
          <w:rFonts w:hint="default"/>
          <w:lang w:val="en-US" w:eastAsia="zh-CN"/>
        </w:rPr>
      </w:pPr>
      <w:r>
        <w:rPr>
          <w:rFonts w:hint="default"/>
          <w:lang w:val="en-US" w:eastAsia="zh-CN"/>
        </w:rPr>
        <w:br w:type="page"/>
      </w:r>
    </w:p>
    <w:p w14:paraId="5B9608F4">
      <w:pPr>
        <w:pStyle w:val="3"/>
        <w:bidi w:val="0"/>
        <w:ind w:left="0" w:leftChars="0" w:firstLine="0" w:firstLineChars="0"/>
        <w:rPr>
          <w:rFonts w:hint="eastAsia"/>
          <w:lang w:val="en-US" w:eastAsia="zh-CN"/>
        </w:rPr>
      </w:pPr>
      <w:r>
        <w:rPr>
          <w:rFonts w:hint="eastAsia"/>
          <w:lang w:val="en-US" w:eastAsia="zh-CN"/>
        </w:rPr>
        <w:t>附表3：</w:t>
      </w:r>
      <w:r>
        <w:rPr>
          <w:rFonts w:hint="eastAsia"/>
          <w:lang w:eastAsia="zh-CN"/>
        </w:rPr>
        <w:t>临沧市2026年度市级政务信息化服务项目</w:t>
      </w:r>
      <w:r>
        <w:rPr>
          <w:rFonts w:hint="eastAsia"/>
          <w:lang w:val="en-US" w:eastAsia="zh-CN"/>
        </w:rPr>
        <w:t>其他类服务</w:t>
      </w:r>
      <w:r>
        <w:t>需求</w:t>
      </w:r>
      <w:r>
        <w:rPr>
          <w:rFonts w:hint="eastAsia"/>
          <w:lang w:val="en-US" w:eastAsia="zh-CN"/>
        </w:rPr>
        <w:t>统计表：</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721"/>
        <w:gridCol w:w="4883"/>
        <w:gridCol w:w="510"/>
        <w:gridCol w:w="453"/>
      </w:tblGrid>
      <w:tr w14:paraId="292A3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ED1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4D0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74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技术要求</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B1B0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C33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5B836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023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一、临沧市人力资源和社会保障局中心机房及供配电室基础环境设备维保服务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96D0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B37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4"/>
                <w:szCs w:val="24"/>
                <w:u w:val="none"/>
              </w:rPr>
            </w:pPr>
          </w:p>
        </w:tc>
      </w:tr>
      <w:tr w14:paraId="679AF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A2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69DB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中心机房及供配电室基础环境设备维保服务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B16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VOLVO柴油发电机组（VP130)维保服务、梅兰日兰UPS不问断电源(Galaxy PW 40KVA）备件及维保服务、APC UPS不间断电源(G35T40KHS))备件及维保服务、依米糠 SAD251空调维保服务、机房门禁系统、动力环境监控系统、视频监控系统、中心机房精密配电柜及配电室2台柜式空调维保服务；每季度一次的现场巡检服务；设备发生故障需蘡乙方到现场处理时，紧急情况下乙方在24小时内到达现场处理，一般情况在48小时内到达现场处理。</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4E1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项/年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C0F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8E6F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2F4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二、临沧市市财政局其他类服务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DEB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B67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654C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62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09" w:type="pct"/>
            <w:tcBorders>
              <w:top w:val="nil"/>
              <w:left w:val="nil"/>
              <w:bottom w:val="nil"/>
              <w:right w:val="nil"/>
            </w:tcBorders>
            <w:shd w:val="clear" w:color="auto" w:fill="auto"/>
            <w:vAlign w:val="center"/>
          </w:tcPr>
          <w:p w14:paraId="3A873AD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财政一体化平台系统运维</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B54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收入预算执行运维、国库集中支付管理运线、单位资金业务运维、拨款管理运维、工资统发管理运维、专户管理运维、账户管理运维。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提供现场、远程及后台深度技术支撑服务，具体包括：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1.技术支持：处理单位用户在使用过程中遇到的技术问题，提供业务与操作深度指导。</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2.故障排除：对系统端、财政终端及接口故障进行诊断、分析与修复，执行重大故障应急响应。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3.系统检查与监控：定期对系统、数据库、服务器资源及接口进行健康检查与性能监控。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4.用户回访与需求分析：配合一线进行深度回访，分析系统需求。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5.系统配置维护：负责用户权限、工作流、预警规则、基础代码、年度初始化与关账等全系统配置管理。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6.重要时期保障：为关键业务节点提供后台技术力量集中支持。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7.系统数据服务：在严格审批下，提供后台数据查询、核对与特定变更服务。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8.关键节点值守：提供远程值守支持。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9.其他服务：完成跨系统、跨部门的技术衔接与协调支持。</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783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76D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136C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E73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D73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机关事业单位在职工的住房补贴系统升级和运维服务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E14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1、保障软件现有功能运行正常，给予服务对象提供软件功能使用培训、业务办理指导，确保住房补贴正常发放。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2、派技术人员现场参与、协助市财政局综合与研究科审核、发放住房补贴。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3、及时为提供《临沧市市级机关事业单位在职职工住房补贴管理系统》的最新补丁程序。</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7B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96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0785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10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FBC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1FB6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系统升级、优化：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1、全面保留、兼容系统原有全部业务功能，确保住房补贴数据完整、业务流程不变、历史台账可正常调取使用。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2、重构系统底层访问架构，实现系统全面兼容国内主流新版浏览器、全品类国产操作系统。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3、结合临沧市住房补贴管理最新业务规范、财政审核管理要求，整改优化申报、审核、核算、发放全流程功能模块，补齐业务短板</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759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EF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A58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547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39E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临沧市财政局财政电子票据管理系统技术服务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2229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（一）软件运行维护服务。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向用户提供的以保障软件正常运行的维护服务。确保系统全年持续、稳定、安全运行，服务内容包括但不限于故障排查、修复、性能优化、漏洞修补、系统日志监控、异常预警、定期健康检查等。服务方对因其服务不当导致的系统运行异常、数据丢失、服务中断等后果承担全部责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（二）运行环境适配维护服务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1.因主机、打印机适配带来环境调整工作；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2.因更换主机、打印机等系统数据转移等工作；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3.因操作系统、各类汉字与该系统适配带来的环境调整工作；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4.因用户机器感染病毒带来的维护工作。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（三）软件数据维护服务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1.因用户非正常操作引起部分数据错误、丢失或带来的调整工作；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2.其他原因导致数据丢失或错误，带来的数据调整工作。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（四）软件升级和使用咨询服务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1.软件的定期升级；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2.定期电话回访，及时掌握甲方软件运行情况；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3.为用户提供软件使用方面的咨询、指导。</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1C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F21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ED0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nil"/>
              <w:right w:val="single" w:color="000000" w:sz="4" w:space="0"/>
            </w:tcBorders>
            <w:shd w:val="clear" w:color="auto" w:fill="auto"/>
            <w:noWrap/>
            <w:vAlign w:val="center"/>
          </w:tcPr>
          <w:p w14:paraId="715191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009" w:type="pct"/>
            <w:tcBorders>
              <w:top w:val="single" w:color="000000" w:sz="4" w:space="0"/>
              <w:left w:val="single" w:color="000000" w:sz="4" w:space="0"/>
              <w:bottom w:val="nil"/>
              <w:right w:val="single" w:color="000000" w:sz="4" w:space="0"/>
            </w:tcBorders>
            <w:shd w:val="clear" w:color="auto" w:fill="auto"/>
            <w:vAlign w:val="center"/>
          </w:tcPr>
          <w:p w14:paraId="5B291B6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2025年公务之家运维费</w:t>
            </w:r>
          </w:p>
        </w:tc>
        <w:tc>
          <w:tcPr>
            <w:tcW w:w="2864" w:type="pct"/>
            <w:tcBorders>
              <w:top w:val="nil"/>
              <w:left w:val="nil"/>
              <w:bottom w:val="nil"/>
              <w:right w:val="nil"/>
            </w:tcBorders>
            <w:shd w:val="clear" w:color="auto" w:fill="auto"/>
            <w:vAlign w:val="center"/>
          </w:tcPr>
          <w:p w14:paraId="75B51EC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运维内容主要包括：对用户提供疑难解答和操作咨询，解决用户日常使用中遇到的问题，及时排除系统故障，保证系统运行的稳定性和数据的准确性，满足用户对系统功能调整、改进和升级的业务需求。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定期巡检服务。完成每季度一次例行巡检，指定专人（工程师）对系统完成全面检查，包括但不限于对网络环境、系统服务器运行情况、存储空间余量、软件运行情况等进行定期检查，优化系统软件，对潜在的故障点进行预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2、系统日常运行维护服务。及时排除用户在系统使用过程中出现的故障；对发现的系统运行过程中的BUG，及时进行修复；跟进关注用户使用情况，对发现的问题及时修复并总结完善。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3、应急响应服务。编制并持续完善应急预案；提供7*24小时全天候应急响应服务。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4、技术指导服务。提供操作说明和常见问题解决指南等服务，并根据用户反馈定期更新系统，提供系统补丁包；建立客服热线电话，提供 7*24小时专线服务电话，对用户提供疑难解答、操作咨询等技术服务，记录日常运维情况，定期报送系统运维报告；根据用户的需求协助解决特殊操作。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系统安全加固相关服务。协助进行系统源代码扫描工作，进行扫描后的代码修改工作；进行系统使用相关中间件和其他使用的软件修复升级工作；加强系统应用和数据安全防护；遵循等保要求，不断完善系统安全模块建设，安全补丁升级，针对发布的软件安全漏洞进行排查以及问题升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6、按财政局要求完成其他与系统相关的维护服务工作。</w:t>
            </w:r>
          </w:p>
        </w:tc>
        <w:tc>
          <w:tcPr>
            <w:tcW w:w="299" w:type="pct"/>
            <w:tcBorders>
              <w:top w:val="single" w:color="000000" w:sz="4" w:space="0"/>
              <w:left w:val="single" w:color="000000" w:sz="4" w:space="0"/>
              <w:bottom w:val="nil"/>
              <w:right w:val="single" w:color="000000" w:sz="4" w:space="0"/>
            </w:tcBorders>
            <w:shd w:val="clear" w:color="auto" w:fill="auto"/>
            <w:noWrap/>
            <w:vAlign w:val="center"/>
          </w:tcPr>
          <w:p w14:paraId="7CCF8B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项/年</w:t>
            </w:r>
          </w:p>
        </w:tc>
        <w:tc>
          <w:tcPr>
            <w:tcW w:w="265" w:type="pct"/>
            <w:tcBorders>
              <w:top w:val="single" w:color="000000" w:sz="4" w:space="0"/>
              <w:left w:val="single" w:color="000000" w:sz="4" w:space="0"/>
              <w:bottom w:val="nil"/>
              <w:right w:val="single" w:color="000000" w:sz="4" w:space="0"/>
            </w:tcBorders>
            <w:shd w:val="clear" w:color="auto" w:fill="auto"/>
            <w:noWrap/>
            <w:vAlign w:val="center"/>
          </w:tcPr>
          <w:p w14:paraId="594F0F9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FFF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ABD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7595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临沧市本级政府采购云平台服务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26C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电子卖场服务：提供网上超市、反向竞价、在线询价、框架协议和网上服务市场采购方式，满足行政事业单位开展集采目录内小额、零星、多频次货物、服务采购。</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ED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67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CE1D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85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FA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6A32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项目采购服务：通过平台全面实现政府采购项目电子采购文件制作、电子招标、电子投标、电子开标、电子评标、电子定标、专家远程异地评标、供应商远程异地投标，自动记录过程信息并生成规范文档。</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A1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693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18D6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nil"/>
              <w:left w:val="single" w:color="000000" w:sz="4" w:space="0"/>
              <w:bottom w:val="single" w:color="000000" w:sz="4" w:space="0"/>
              <w:right w:val="single" w:color="000000" w:sz="4" w:space="0"/>
            </w:tcBorders>
            <w:shd w:val="clear" w:color="auto" w:fill="auto"/>
            <w:noWrap/>
            <w:vAlign w:val="center"/>
          </w:tcPr>
          <w:p w14:paraId="11AFDA7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3874" w:type="pct"/>
            <w:gridSpan w:val="2"/>
            <w:tcBorders>
              <w:top w:val="nil"/>
              <w:left w:val="single" w:color="000000" w:sz="4" w:space="0"/>
              <w:bottom w:val="single" w:color="000000" w:sz="4" w:space="0"/>
              <w:right w:val="nil"/>
            </w:tcBorders>
            <w:shd w:val="clear" w:color="auto" w:fill="auto"/>
            <w:vAlign w:val="center"/>
          </w:tcPr>
          <w:p w14:paraId="57009DD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信创数据整合服务</w:t>
            </w:r>
          </w:p>
        </w:tc>
        <w:tc>
          <w:tcPr>
            <w:tcW w:w="299" w:type="pct"/>
            <w:tcBorders>
              <w:top w:val="nil"/>
              <w:left w:val="single" w:color="000000" w:sz="4" w:space="0"/>
              <w:bottom w:val="single" w:color="000000" w:sz="4" w:space="0"/>
              <w:right w:val="single" w:color="000000" w:sz="4" w:space="0"/>
            </w:tcBorders>
            <w:shd w:val="clear" w:color="auto" w:fill="auto"/>
            <w:vAlign w:val="center"/>
          </w:tcPr>
          <w:p w14:paraId="488022DD">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4"/>
                <w:szCs w:val="24"/>
                <w:u w:val="none"/>
              </w:rPr>
            </w:pPr>
          </w:p>
        </w:tc>
        <w:tc>
          <w:tcPr>
            <w:tcW w:w="265" w:type="pct"/>
            <w:tcBorders>
              <w:top w:val="nil"/>
              <w:left w:val="single" w:color="000000" w:sz="4" w:space="0"/>
              <w:bottom w:val="single" w:color="000000" w:sz="4" w:space="0"/>
              <w:right w:val="single" w:color="000000" w:sz="4" w:space="0"/>
            </w:tcBorders>
            <w:shd w:val="clear" w:color="auto" w:fill="auto"/>
            <w:vAlign w:val="center"/>
          </w:tcPr>
          <w:p w14:paraId="68B52BA8">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4"/>
                <w:szCs w:val="24"/>
                <w:u w:val="none"/>
              </w:rPr>
            </w:pPr>
          </w:p>
        </w:tc>
      </w:tr>
      <w:tr w14:paraId="34AB9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8D1D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09E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云平台软件</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814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配置服务器虚拟化：将物理服务器CPU、内存等进行虚拟化池化，为上层应用弹性计算资源服务，支持业内所有主流信创服务器型号，支持管理节点高可用和虚拟机高可用、云主机快照等全部功能；2、配置存储虚拟化对接模块：支持对接管理多种存储类型，包括本地存储、集中存储（NFS/iSCSI/FC）、分布式存储等，为云主机提供块存储服务；3、配置云盘管理功能：支持云盘QoS功能，支持共享云盘功能，支持在线云盘扩容功能，支持云盘快照、克隆、创建镜像功能；4、配置高级网络虚拟化软件模块：支持分布式扁平网络模型，提供分布式DHCP服务，消除网络性能瓶颈及单点故障，支持VPC网络模型，支持SR-IOV、智能网卡等高性能网卡功能，提供不受数量限制的弹性IP、虚拟路由器、虚拟防火墙、虚拟安全组、虚拟负载均衡，支持OSPF动态路由协议、SNAT网络服务、组播路由、端口转发、NetFlow等高级网络功能；支持二层网络隔离功能：支持noVLAN、VLAN、Vxlan，支持网络东西向、南北向QoS功能；支持硬件Vxlan对接添加SDN控制器，支持配置基于TCP/UDP端口的三层安全策略隔离；5、配置平台监控管理模块，提供物理机、虚拟机资源运行状态及关键指标（如CPU、内存、网卡、磁盘等资源）用量展示和发布功能</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B70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CPU</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4BB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r w14:paraId="01BD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3B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DD68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存储软件</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BE6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1、提供存储的运行管理与分析：包括全方位性能指标监控、健康状态监测、故障告警等；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2、提供数据可靠能力：支持数据2~6副本数据安全性保护机制，可设置存储池故障域；支持在线调整存储池副本数量，支持对存储池数据恢复设置QoS策略；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3、提供数据安全访问：支持操作审计记录、支持邮箱告警推送等；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4、提供数据缩减：存储池支持精简配置、支持在线扩缩容等操作；</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126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TB</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B7D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r>
      <w:tr w14:paraId="38D23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A7F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6D7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备份软件</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DA59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配置备份与恢复系统48TB容量授权。支持对 Windows、Linux 等各类操作系统的各个版本的定时备份及恢复;支持对 SQL Server、Oracle、MySQL、MongoDB、PostgreSQL 等主流数据库的备份与恢复;支持 VMware、Hyper-V、HuaweiFusionCompute、H3C CAS、SANGFOR HCI、0penStack、Smartx 等主流虚拟化无代理备份;支持提供企业级数据副本管理 CDM 备份功能模块;支持差异/增量/全备份模式;支持 LAN-FREE 功能，支持重复数据删除功能，支持虚瞬时恢复，支持细粒度恢复</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FC7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89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8A82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11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63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虚拟机迁移</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63A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利用工具实现VMware虚拟机在线迁移至国产虚拟化平台。</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D4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840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r>
      <w:tr w14:paraId="182F0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C106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9B0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存储硬件</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A2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1.6TB NVMe SSD（优选NVMe,但要确认硬件是否支持nvme接口）</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B6A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78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655A9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ED0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E26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双口万兆网卡</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7C3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双口万兆网卡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443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A01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5B5C8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324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FDD7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硬盘</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63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8TB-SATA-HDD硬盘</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E978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A3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06F3F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A2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01C4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交换机</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E6D3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24个10GE SFP+光口（支持自适应为1GE）+ 6个40GE QSFP+光口（可升级至100GE）电源</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61E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91CA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F2CF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E02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三、市住房公积金管理中心其他类服务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C68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241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45908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7B4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2B7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互联网专线服务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B0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提供带宽100Mbps带宽互联网专线服务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48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F2D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FCF5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739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四、临沧市医疗保障局网络安全服务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DE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AA2A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3D6A1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B64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238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临沧市医疗保障局网络安全服务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88F6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1、资产管理:将市医保局信息化资产进行梳理，包括但不限于IP地址、MAC地址等信息等信息，形成主机资产台账，并定期整理资产变动情况。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2、应急预案：根据实际情况以及影响程度，修订完善网络安全事件应急处置预案，将网络安全事件划分处置级别。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3、应急演练：根据实际情况制定临沧市医保局网络安全应急演练方案，组织开展应急演练，并形成演练报告。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4、安全巡检：每季度为临沧市医保局信息化资产进行网络安全巡检，形成网络安全巡检记录。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5、安全监测：每季度监测临沧市及各县市医保局和接入医保专网侧资产网络安全情况，及时发现网络安全隐患，为市医保局网络安全隐患进行及时整改。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6、应急响应：根据应急预案对突发的网络安全事件提供7*24小时网络安全技术支持和响应。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7、网络安全培训：定期为临沧市及各县市医保局、两定机构相关人员进行网络安全相关内容培训，每年不少于2次。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8、重保服务：为临沧市医保局重大节日或会议期间，提供网络安全保障，形成网络安全重保报告。</w:t>
            </w:r>
          </w:p>
        </w:tc>
        <w:tc>
          <w:tcPr>
            <w:tcW w:w="299" w:type="pct"/>
            <w:vMerge w:val="restart"/>
            <w:tcBorders>
              <w:top w:val="single" w:color="000000" w:sz="4" w:space="0"/>
              <w:left w:val="single" w:color="000000" w:sz="4" w:space="0"/>
              <w:bottom w:val="nil"/>
              <w:right w:val="single" w:color="000000" w:sz="4" w:space="0"/>
            </w:tcBorders>
            <w:shd w:val="clear" w:color="auto" w:fill="auto"/>
            <w:noWrap/>
            <w:vAlign w:val="center"/>
          </w:tcPr>
          <w:p w14:paraId="5DB1C4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w:t>
            </w:r>
          </w:p>
        </w:tc>
        <w:tc>
          <w:tcPr>
            <w:tcW w:w="265" w:type="pct"/>
            <w:vMerge w:val="restart"/>
            <w:tcBorders>
              <w:top w:val="single" w:color="000000" w:sz="4" w:space="0"/>
              <w:left w:val="single" w:color="000000" w:sz="4" w:space="0"/>
              <w:bottom w:val="nil"/>
              <w:right w:val="single" w:color="000000" w:sz="4" w:space="0"/>
            </w:tcBorders>
            <w:shd w:val="clear" w:color="auto" w:fill="auto"/>
            <w:noWrap/>
            <w:vAlign w:val="center"/>
          </w:tcPr>
          <w:p w14:paraId="11B656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D42D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nil"/>
              <w:right w:val="single" w:color="000000" w:sz="4" w:space="0"/>
            </w:tcBorders>
            <w:shd w:val="clear" w:color="auto" w:fill="auto"/>
            <w:noWrap/>
            <w:vAlign w:val="center"/>
          </w:tcPr>
          <w:p w14:paraId="68A644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09" w:type="pct"/>
            <w:tcBorders>
              <w:top w:val="single" w:color="000000" w:sz="4" w:space="0"/>
              <w:left w:val="single" w:color="000000" w:sz="4" w:space="0"/>
              <w:bottom w:val="nil"/>
              <w:right w:val="single" w:color="000000" w:sz="4" w:space="0"/>
            </w:tcBorders>
            <w:shd w:val="clear" w:color="auto" w:fill="auto"/>
            <w:vAlign w:val="center"/>
          </w:tcPr>
          <w:p w14:paraId="71124C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临沧市医疗保障局两定机构网络安全监管服务</w:t>
            </w:r>
          </w:p>
        </w:tc>
        <w:tc>
          <w:tcPr>
            <w:tcW w:w="2864" w:type="pct"/>
            <w:tcBorders>
              <w:top w:val="nil"/>
              <w:left w:val="nil"/>
              <w:bottom w:val="nil"/>
              <w:right w:val="nil"/>
            </w:tcBorders>
            <w:shd w:val="clear" w:color="auto" w:fill="auto"/>
            <w:vAlign w:val="center"/>
          </w:tcPr>
          <w:p w14:paraId="78B965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1、入网审核：对接入医保专网的两定医疗机构进行审核，确保接入医保专网的终端资产合规接入。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2、组织架构：对已接入医保专网的两定医疗机构梳理出两定机构的网络安全组织架构及职责，确保有问题可追溯。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3、接入管理：对已接入医保专网的两定医疗机构终端进行统一管控，确保入网资产可追溯可管控。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4、机构管理：对已接入医保专网的两定医疗机构协议进行统一管理，杜绝协议到期依然“在网”。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5、资产管理：对已接入医保专网的两定医疗机构终端资产进行实时监控，确保接入医保专网资产清单及时更新。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6、终端管理：对已接入医保专网的两定医疗机构终端进行定期安全评估，及时排查安全隐患。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7、漏洞管理：提供漏洞扫描工具且永久授权。对已接入医保专网的两定医疗机构终端进行定期网络安全监测，对已发现的漏洞进行全生命周期跟踪监管，同时提供专属各两定医疗机构的漏洞整改报告。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8、一机双网：对已接入医保专网的两定医疗机构终端进行实时监控，对发现同时接入医保专网和互联网行为的机构进行及时告警并通知相关责任人进行整改。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9、行为分析：对已接入医保专网的两定医疗机构的访问行为进行监控，确保访问合规，发现异常访问行为时，将进行及时预警并通知相关责任人进行排查。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10、通知管理：对已接入医保专网的两定医疗机构的进行通知管理，确保通知到各两定医疗机构，规避互联网传播风险。</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11、报表管理：对已接入医保专网的两定医疗机构的资产情况、漏洞情况、风险终端、一机双网情况定期生成报告，形成网络安全台账。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12、实施监测：对已接入医保专网的两定医疗机构的终端分布、网络安全情况、一机双网情况、高风险机构进行实时监测。</w:t>
            </w:r>
          </w:p>
        </w:tc>
        <w:tc>
          <w:tcPr>
            <w:tcW w:w="299"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6E4B0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AD9B2A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21D01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CB9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五、市机关事务服务中心无纸化会议服务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C1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AC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5B5BF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nil"/>
              <w:right w:val="single" w:color="000000" w:sz="4" w:space="0"/>
            </w:tcBorders>
            <w:shd w:val="clear" w:color="auto" w:fill="auto"/>
            <w:noWrap/>
            <w:vAlign w:val="center"/>
          </w:tcPr>
          <w:p w14:paraId="07E1E60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09" w:type="pct"/>
            <w:tcBorders>
              <w:top w:val="single" w:color="000000" w:sz="4" w:space="0"/>
              <w:left w:val="single" w:color="000000" w:sz="4" w:space="0"/>
              <w:bottom w:val="nil"/>
              <w:right w:val="single" w:color="000000" w:sz="4" w:space="0"/>
            </w:tcBorders>
            <w:shd w:val="clear" w:color="auto" w:fill="auto"/>
            <w:noWrap/>
            <w:vAlign w:val="center"/>
          </w:tcPr>
          <w:p w14:paraId="7F1794B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无纸化会议专人技术服务</w:t>
            </w:r>
          </w:p>
        </w:tc>
        <w:tc>
          <w:tcPr>
            <w:tcW w:w="2864" w:type="pct"/>
            <w:tcBorders>
              <w:top w:val="nil"/>
              <w:left w:val="nil"/>
              <w:bottom w:val="nil"/>
              <w:right w:val="nil"/>
            </w:tcBorders>
            <w:shd w:val="clear" w:color="auto" w:fill="auto"/>
            <w:vAlign w:val="center"/>
          </w:tcPr>
          <w:p w14:paraId="2094C3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1.会前服务：收到会议通知后提前到场， 2~3 名技术人员进行保障，完成系统调试、网络实测、70台会议终端联网测试、会议资料批量上传权限配置、签到等功能全流程预检；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2.会中服务：至少1名技术人员现场在岗值守，实时处理终端掉线、文件打不开、批注异常等突发问题，按需实时更新推送会议资料、协助远程管控终端；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3.会后服务：会议结束协助整理会议资料、归档备份，统一回收整理平板、补电归位，填报单次会议服务记录表。</w:t>
            </w:r>
          </w:p>
        </w:tc>
        <w:tc>
          <w:tcPr>
            <w:tcW w:w="299" w:type="pct"/>
            <w:tcBorders>
              <w:top w:val="single" w:color="000000" w:sz="4" w:space="0"/>
              <w:left w:val="single" w:color="000000" w:sz="4" w:space="0"/>
              <w:bottom w:val="nil"/>
              <w:right w:val="single" w:color="000000" w:sz="4" w:space="0"/>
            </w:tcBorders>
            <w:shd w:val="clear" w:color="auto" w:fill="auto"/>
            <w:noWrap/>
            <w:vAlign w:val="center"/>
          </w:tcPr>
          <w:p w14:paraId="7019CE3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项/年</w:t>
            </w:r>
          </w:p>
        </w:tc>
        <w:tc>
          <w:tcPr>
            <w:tcW w:w="265" w:type="pct"/>
            <w:tcBorders>
              <w:top w:val="single" w:color="000000" w:sz="4" w:space="0"/>
              <w:left w:val="single" w:color="000000" w:sz="4" w:space="0"/>
              <w:bottom w:val="nil"/>
              <w:right w:val="single" w:color="000000" w:sz="4" w:space="0"/>
            </w:tcBorders>
            <w:shd w:val="clear" w:color="auto" w:fill="auto"/>
            <w:noWrap/>
            <w:vAlign w:val="center"/>
          </w:tcPr>
          <w:p w14:paraId="08BC8A1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60F2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EA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六、市政务服务管理局其他类服务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CF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10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2370D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1F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4439" w:type="pct"/>
            <w:gridSpan w:val="4"/>
            <w:tcBorders>
              <w:top w:val="single" w:color="000000" w:sz="4" w:space="0"/>
              <w:left w:val="single" w:color="000000" w:sz="4" w:space="0"/>
              <w:bottom w:val="single" w:color="000000" w:sz="4" w:space="0"/>
              <w:right w:val="nil"/>
            </w:tcBorders>
            <w:shd w:val="clear" w:color="auto" w:fill="auto"/>
            <w:noWrap/>
            <w:vAlign w:val="center"/>
          </w:tcPr>
          <w:p w14:paraId="18CEC3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商用密码安全改造服务</w:t>
            </w:r>
          </w:p>
        </w:tc>
      </w:tr>
      <w:tr w14:paraId="5319A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B091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FFB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云安全配置服务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683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云WAF：</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特性：提供网站的SQL注入攻击、跨站脚本攻击等防护能力，并可对CC攻击、网页篡改行为进行防护。</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C29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7F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BCD1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D7C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478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F9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边界防火墙：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访问控制、入侵防护IPS、防病毒监测功能</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84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B87A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DB60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698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BA2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368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网页防篡改：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支持1台服务器（windows或linux)网站防护。特性：提供网站防篡改、防攻击服务，作为网站的最后一道安全防线。</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7FB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7164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1D25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34C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F3F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97F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SSL证书：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证书种类：企业型（OV）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域名规格：通配符</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2F3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FB5A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BFA2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EA0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6B2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6C5F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云堡垒机：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20资产20并发</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97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54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47DA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8B9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340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FD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数据库审计：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支持1个数据库实例（根据接入审计的数据库数量进行规格选择）</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CB7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900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937E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4C4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149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5241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漏洞扫描：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每个模块支持10个IP地址</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2DB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5C5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B864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CD8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473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F68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日志审计：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基础版（支持10日志源）</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71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DD0E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B504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D6C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276C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DC9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Nat网关：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小型 （SNAT最大连接数1万）</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4D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B2F0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80B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78A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033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50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弹性公网ip：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10M</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0D7B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E6B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E022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5206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EDF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云上密码能力调用</w:t>
            </w:r>
          </w:p>
        </w:tc>
        <w:tc>
          <w:tcPr>
            <w:tcW w:w="2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A56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提供加解密服务、完整性保护服务、签名验签服务、密钥管理服务和SSL网关服务：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1、为业务提供双活高可用服务；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2、满足业务系统用户并发量小于1500的需求，可满足市面90%业务系统需求；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3、业务系统用户并非量以1500为基础，每提高750并发量，报价要提高50%；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4、同时在专网区和互联网区都要配置密码服务客户，要配置2套服务；</w:t>
            </w:r>
          </w:p>
        </w:tc>
        <w:tc>
          <w:tcPr>
            <w:tcW w:w="29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94F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3BB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14CA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9B14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4D8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E7519">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u w:val="none"/>
              </w:rPr>
            </w:pP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D1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B6D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43FC8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D03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DEA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A0FAE">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u w:val="none"/>
              </w:rPr>
            </w:pP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0F0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E5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19C2C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AC9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F79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7C6B">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u w:val="none"/>
              </w:rPr>
            </w:pP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608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21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0EAC9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54A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2E5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24B62">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u w:val="none"/>
              </w:rPr>
            </w:pP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69B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7B3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3B5F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F2D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5A00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云上证书等配套服务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5B1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超级SIM智能密码钥匙：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1、配置超级SIM智能密码钥匙；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2、支持异网用户（支持移动、电信、联通）。</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A67C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1F1D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7DACE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492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E58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D6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SSL服务器证书：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服务器证书:域名服务器证书,用于证实域名的真实性。</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720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B4F9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FEFB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164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43B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5044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数字证书服务：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个人证书:采用国家认可的权威第三方CA机构证书,提供国密证书签发和管理服务,应用于个人用户标识真实身份。与超级SIM搭配使用，完成用户身份鉴别。</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05D7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9F3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6B9B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A46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32F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BDF1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国密安全浏览器：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结合SSL安全网关提供国密HTTPS服务；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9AB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8C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r>
      <w:tr w14:paraId="10638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BCAB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DE3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软件合规性改造</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7AD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nginx 国密证书适配：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在网络边界层实现国密（SM2/SM3/SM4）传输加密支持，确保系统满足密评（GM/T 0115）中关于“网络和通讯安全”的合规要求，建立安全的国密通道。</w:t>
            </w:r>
          </w:p>
        </w:tc>
        <w:tc>
          <w:tcPr>
            <w:tcW w:w="29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2C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3F2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9E52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5E8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C39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397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接入密码机服务-统一由 sdk 收口：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调用密码机底层的复杂接口，打造易用、高性能、高可用的内部标准安全 SDK，为全系统的加解密、哈希、签名提供统一入口，杜绝普通开发因自行编写加密代码引发的安全漏洞。</w:t>
            </w: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21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F5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0D4F7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AE3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159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0DC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透明数据加密：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 技术方案选型：调研现有数据库（如 MySQL、PostgreSQL 或 Oracle）对 TDE 的原生支持度，结合合规要求，决定采用数据库自带的 TDE 机制（结合外部 KMS 密钥管理）还是基于商用国密数据库插件的方案。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密钥管理对接：配置主密钥（Master Key）与表空间密钥（Tablespace Key）的轮转策略，确保主密钥安全存储在第 2 项提到的密码机或合规的密钥管理系统（KMS）中。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环境验证与压测：在影子测试环境开启 TDE，导入海量模拟数据，重点进行数据库读写吞吐量（TPS/QPS）和 CPU 损耗的基准测试（Benchmark），评估加密落盘对业务延迟的影响，调整缓冲区大小等参数。</w:t>
            </w: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E35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19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5AEB5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8F4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51D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3287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个人敏感信息服务脱敏-sm3（需提供查看完整数据接口）：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对系统内存储和展示的个人敏感信息（如身份证号、手机号、银行卡等）进行全生命周期防护。数据库端通过 SM3 算法做哈希摘要或动态加密，前端展现层进行遮罩脱敏，同时保障合法特权用户对完整数据的按需合规调阅。</w:t>
            </w: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EB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E9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13A3C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0D0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B77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9583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系统管理员登录+短信验证码（触发前先滑块验证通过）：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对系统最高权限入口（管理员后台）进行多因子认证（MFA）强化，有效防御暴力破解、撞库攻击以及针对短信网关的恶意刷量（短信轰炸）。</w:t>
            </w: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D4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DD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48A83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5BB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EE7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8CE0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变更权限表需要记录变更日志与提示：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强化权限管理的内部控制与审计追踪，确保任何涉及角色定义、用户赋权、权限回收的操作都“有据可查、责任到人”，防止内部人员越权或恶意篡改权限。</w:t>
            </w: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3E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74E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2640F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413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010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EA80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身份鉴别即口令：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落实等保三级中关于“身份鉴别”的硬性指标，从源头提升系统用户（尤其是管理用户）凭证的抗破译强度。</w:t>
            </w: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A015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02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3D5E2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EA6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215C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5815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系统日志输出需脱敏 &amp; 系统操作日志做脱敏-确保存储数据完整性：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双管齐下治理日志安全。一方面防止开发人员在打印系统运行日志（如 app.log）时无意泄露用户隐私；另一方面确保记录在数据库中的“系统操作日志”在脱敏的同时，具备“防篡改”的完整性校验能力。</w:t>
            </w: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72F1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65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40CE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20B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BC4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5D9E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系统操作日志需记录完整性：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配合等保/密评的审计完整性检查，实现对操作日志库的自动化定期“验签”与“审计自检”，确保审计记录的真实性与不可否认性。</w:t>
            </w:r>
          </w:p>
        </w:tc>
        <w:tc>
          <w:tcPr>
            <w:tcW w:w="2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969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8DE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r>
      <w:tr w14:paraId="0793E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nil"/>
              <w:left w:val="single" w:color="000000" w:sz="4" w:space="0"/>
              <w:bottom w:val="single" w:color="000000" w:sz="4" w:space="0"/>
              <w:right w:val="single" w:color="000000" w:sz="4" w:space="0"/>
            </w:tcBorders>
            <w:shd w:val="clear" w:color="auto" w:fill="auto"/>
            <w:noWrap/>
            <w:vAlign w:val="center"/>
          </w:tcPr>
          <w:p w14:paraId="058DB5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09" w:type="pct"/>
            <w:vMerge w:val="restart"/>
            <w:tcBorders>
              <w:top w:val="nil"/>
              <w:left w:val="single" w:color="000000" w:sz="4" w:space="0"/>
              <w:bottom w:val="single" w:color="000000" w:sz="4" w:space="0"/>
              <w:right w:val="single" w:color="000000" w:sz="4" w:space="0"/>
            </w:tcBorders>
            <w:shd w:val="clear" w:color="auto" w:fill="auto"/>
            <w:noWrap/>
            <w:vAlign w:val="center"/>
          </w:tcPr>
          <w:p w14:paraId="22F32D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运营商网络线路租用服务</w:t>
            </w:r>
          </w:p>
        </w:tc>
        <w:tc>
          <w:tcPr>
            <w:tcW w:w="2864" w:type="pct"/>
            <w:tcBorders>
              <w:top w:val="nil"/>
              <w:left w:val="single" w:color="000000" w:sz="4" w:space="0"/>
              <w:bottom w:val="single" w:color="000000" w:sz="4" w:space="0"/>
              <w:right w:val="single" w:color="000000" w:sz="4" w:space="0"/>
            </w:tcBorders>
            <w:shd w:val="clear" w:color="auto" w:fill="auto"/>
            <w:noWrap/>
            <w:vAlign w:val="center"/>
          </w:tcPr>
          <w:p w14:paraId="1A21392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数据专线10M</w:t>
            </w:r>
          </w:p>
        </w:tc>
        <w:tc>
          <w:tcPr>
            <w:tcW w:w="299" w:type="pct"/>
            <w:tcBorders>
              <w:top w:val="nil"/>
              <w:left w:val="single" w:color="000000" w:sz="4" w:space="0"/>
              <w:bottom w:val="single" w:color="000000" w:sz="4" w:space="0"/>
              <w:right w:val="single" w:color="000000" w:sz="4" w:space="0"/>
            </w:tcBorders>
            <w:shd w:val="clear" w:color="auto" w:fill="auto"/>
            <w:noWrap/>
            <w:vAlign w:val="center"/>
          </w:tcPr>
          <w:p w14:paraId="3AB86D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265" w:type="pct"/>
            <w:tcBorders>
              <w:top w:val="nil"/>
              <w:left w:val="single" w:color="000000" w:sz="4" w:space="0"/>
              <w:bottom w:val="single" w:color="000000" w:sz="4" w:space="0"/>
              <w:right w:val="single" w:color="000000" w:sz="4" w:space="0"/>
            </w:tcBorders>
            <w:shd w:val="clear" w:color="auto" w:fill="auto"/>
            <w:noWrap/>
            <w:vAlign w:val="center"/>
          </w:tcPr>
          <w:p w14:paraId="7D4B702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EE43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nil"/>
              <w:left w:val="single" w:color="000000" w:sz="4" w:space="0"/>
              <w:bottom w:val="single" w:color="000000" w:sz="4" w:space="0"/>
              <w:right w:val="single" w:color="000000" w:sz="4" w:space="0"/>
            </w:tcBorders>
            <w:shd w:val="clear" w:color="auto" w:fill="auto"/>
            <w:noWrap/>
            <w:vAlign w:val="center"/>
          </w:tcPr>
          <w:p w14:paraId="3F7ED0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nil"/>
              <w:left w:val="single" w:color="000000" w:sz="4" w:space="0"/>
              <w:bottom w:val="single" w:color="000000" w:sz="4" w:space="0"/>
              <w:right w:val="single" w:color="000000" w:sz="4" w:space="0"/>
            </w:tcBorders>
            <w:shd w:val="clear" w:color="auto" w:fill="auto"/>
            <w:noWrap/>
            <w:vAlign w:val="center"/>
          </w:tcPr>
          <w:p w14:paraId="2724F17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8FD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数据专线100M</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F77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F1EB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C68D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nil"/>
              <w:left w:val="single" w:color="000000" w:sz="4" w:space="0"/>
              <w:bottom w:val="single" w:color="000000" w:sz="4" w:space="0"/>
              <w:right w:val="single" w:color="000000" w:sz="4" w:space="0"/>
            </w:tcBorders>
            <w:shd w:val="clear" w:color="auto" w:fill="auto"/>
            <w:noWrap/>
            <w:vAlign w:val="center"/>
          </w:tcPr>
          <w:p w14:paraId="032E59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nil"/>
              <w:left w:val="single" w:color="000000" w:sz="4" w:space="0"/>
              <w:bottom w:val="single" w:color="000000" w:sz="4" w:space="0"/>
              <w:right w:val="single" w:color="000000" w:sz="4" w:space="0"/>
            </w:tcBorders>
            <w:shd w:val="clear" w:color="auto" w:fill="auto"/>
            <w:noWrap/>
            <w:vAlign w:val="center"/>
          </w:tcPr>
          <w:p w14:paraId="40895A8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F18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系统运维服务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B7B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C3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5655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nil"/>
              <w:left w:val="single" w:color="000000" w:sz="4" w:space="0"/>
              <w:bottom w:val="single" w:color="000000" w:sz="4" w:space="0"/>
              <w:right w:val="single" w:color="000000" w:sz="4" w:space="0"/>
            </w:tcBorders>
            <w:shd w:val="clear" w:color="auto" w:fill="auto"/>
            <w:noWrap/>
            <w:vAlign w:val="center"/>
          </w:tcPr>
          <w:p w14:paraId="68FE84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nil"/>
              <w:left w:val="single" w:color="000000" w:sz="4" w:space="0"/>
              <w:bottom w:val="single" w:color="000000" w:sz="4" w:space="0"/>
              <w:right w:val="single" w:color="000000" w:sz="4" w:space="0"/>
            </w:tcBorders>
            <w:shd w:val="clear" w:color="auto" w:fill="auto"/>
            <w:noWrap/>
            <w:vAlign w:val="center"/>
          </w:tcPr>
          <w:p w14:paraId="4A505A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02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E人E本服务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F2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C5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93EA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DEC0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37B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政府采购电子交易平台可视化系统服务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F63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1.100个（含）项目实时在线会议涉及的视频、语音存储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2.数字证书服务。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3.云会议集成服务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780E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761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DEF4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4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6CF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七、市数据局</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F465">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CCEBB">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u w:val="none"/>
              </w:rPr>
            </w:pPr>
          </w:p>
        </w:tc>
      </w:tr>
      <w:tr w14:paraId="0C5E1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nil"/>
              <w:right w:val="single" w:color="000000" w:sz="4" w:space="0"/>
            </w:tcBorders>
            <w:shd w:val="clear" w:color="auto" w:fill="auto"/>
            <w:noWrap/>
            <w:vAlign w:val="center"/>
          </w:tcPr>
          <w:p w14:paraId="66BAF16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3874" w:type="pct"/>
            <w:gridSpan w:val="2"/>
            <w:tcBorders>
              <w:top w:val="single" w:color="000000" w:sz="4" w:space="0"/>
              <w:left w:val="single" w:color="000000" w:sz="4" w:space="0"/>
              <w:bottom w:val="nil"/>
              <w:right w:val="single" w:color="000000" w:sz="4" w:space="0"/>
            </w:tcBorders>
            <w:shd w:val="clear" w:color="auto" w:fill="auto"/>
            <w:noWrap/>
            <w:vAlign w:val="center"/>
          </w:tcPr>
          <w:p w14:paraId="3D11BCB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市数据局数据治理服务</w:t>
            </w:r>
          </w:p>
        </w:tc>
        <w:tc>
          <w:tcPr>
            <w:tcW w:w="299" w:type="pct"/>
            <w:tcBorders>
              <w:top w:val="single" w:color="000000" w:sz="4" w:space="0"/>
              <w:left w:val="single" w:color="000000" w:sz="4" w:space="0"/>
              <w:bottom w:val="nil"/>
              <w:right w:val="single" w:color="000000" w:sz="4" w:space="0"/>
            </w:tcBorders>
            <w:shd w:val="clear" w:color="auto" w:fill="auto"/>
            <w:noWrap/>
            <w:vAlign w:val="center"/>
          </w:tcPr>
          <w:p w14:paraId="28AFB7D0">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u w:val="none"/>
              </w:rPr>
            </w:pPr>
          </w:p>
        </w:tc>
        <w:tc>
          <w:tcPr>
            <w:tcW w:w="265" w:type="pct"/>
            <w:tcBorders>
              <w:top w:val="single" w:color="000000" w:sz="4" w:space="0"/>
              <w:left w:val="single" w:color="000000" w:sz="4" w:space="0"/>
              <w:bottom w:val="nil"/>
              <w:right w:val="single" w:color="000000" w:sz="4" w:space="0"/>
            </w:tcBorders>
            <w:shd w:val="clear" w:color="auto" w:fill="auto"/>
            <w:noWrap/>
            <w:vAlign w:val="center"/>
          </w:tcPr>
          <w:p w14:paraId="7C1CD881">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i w:val="0"/>
                <w:iCs w:val="0"/>
                <w:color w:val="000000"/>
                <w:sz w:val="24"/>
                <w:szCs w:val="24"/>
                <w:u w:val="none"/>
              </w:rPr>
            </w:pPr>
          </w:p>
        </w:tc>
      </w:tr>
      <w:tr w14:paraId="0369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19E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98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数据治理服务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CC1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数据标准编制服务：制定统一标准规范，包括资料收集、调研分析、规范内容设计、规范内容编写、意见征集与修改、标准规范发布、版本管理等服务，但不包含邀请第三方专家评审、立法、宣贯和定标等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2、数据普查服务：针对临沧市直部门制定数据普查方案，进行现场调研、纪要整理，出具调研报告，对数据现状进行盘点和分析。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3、数据集成服务：制定各单位业务数据接入方案，开展数据集成作业，形成常态化数据归集机制。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4、数据编目服务：遵循省级目录编制规范，开展目录分类、目录定义、目录编制、资源挂接、申请审批、目录修改和维护、目录统计等工作。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5、数据治理服务：打通数据孤岛、统一数据口径、提升数据质量与合规性，包括元数据管理、数据清洗、数据标准化、数据融合、数据质量稽查等服务。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6、数据共享交换服务：搭建省、市、区县多级联动的共享交换体系，提供数据共享申请、审核、分发一站式服务，包括数据批量共享、接口调用、离线交换等共享方式。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7、数据直通服务：对接省级一体化公共数据平台，实现上下级目录和资源的的更新联动与供需对接。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8、数据接口服务：根据各单位、各应用的接口需求，进行接口定义、设计、封装、发布、监控等工作。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专题库服务：在建设期内，提供定制化专题库服务；设计区县库，建立“市-县（区）”两级数据贯通机制，为每个区县开通权限账号，集约化建设，共建共用；设立数据回流库，统一存储上级按照属地原则回流到本地的数据资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10、数据安全服务：依据国家及地方政务数据安全分级标准，对平台归集的政务数据进行分类定级打标和权限管控，密级不同的数据共享条件和开放条件不同，匹配必要的脱敏规则。</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EF6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1B2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4293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AC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EA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数据运维服务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C5C6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1、购买1年的平台运维服务，包括平台常态化巡检、性能监测、故障处理与修复；建立平台运维全流程台账，详细记录日常巡检、故障处置、功能优化、安全整改、版本迭代等运维内容，定期输出运维报告。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购买1年的常态化数据运维服务，围绕政务数据和公共数据“归集、治理、存储、流通、应用、安全”全生命周期，对增量数据进行归集与更新；数据质量巡检与问题整改；日常数据调用、共享申请、开放公示等工作；数据备份、冗余数据清理、存储资源优化扩容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3、针对平台各级使用、管理、业务人员的需求，派专业的数据治理专家或项目经理提供相关的培训服务，便于平台在全市进行推广使用。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4、配合政府部门完成每年的平台考核、审计、攻防演练等工作。</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F86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82E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3E75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537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w:t>
            </w:r>
          </w:p>
        </w:tc>
        <w:tc>
          <w:tcPr>
            <w:tcW w:w="443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1E7A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经济运行分析平台配套服务</w:t>
            </w:r>
          </w:p>
        </w:tc>
      </w:tr>
      <w:tr w14:paraId="176E7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358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6CD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登记数据标准化服务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BA2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各行业企业信息与登记信息清洗、关联</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B41A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849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675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D631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F45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缴税数据标准化服务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DD07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电子税票信息清洗、关联</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EC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52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14A5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936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7422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宏观经济数据标准化服务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A571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宏观经济数据清洗、关联</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13F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A2B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D9C6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F2F2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4C4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行业风险数据标准化服务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DEB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机动车检测、驾校、药店、房地产、建筑、商砼、物业、酒店等行业数据清洗、关联。</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143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A3A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C277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3B3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384A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人员驻点服务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D33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2人驻场服务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FF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BE34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8F77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83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w:t>
            </w:r>
          </w:p>
        </w:tc>
        <w:tc>
          <w:tcPr>
            <w:tcW w:w="3874" w:type="pct"/>
            <w:gridSpan w:val="2"/>
            <w:tcBorders>
              <w:top w:val="single" w:color="000000" w:sz="4" w:space="0"/>
              <w:left w:val="single" w:color="000000" w:sz="4" w:space="0"/>
              <w:bottom w:val="single" w:color="000000" w:sz="4" w:space="0"/>
              <w:right w:val="nil"/>
            </w:tcBorders>
            <w:shd w:val="clear" w:color="auto" w:fill="auto"/>
            <w:noWrap/>
            <w:vAlign w:val="center"/>
          </w:tcPr>
          <w:p w14:paraId="51A3FB3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应用系统信创适配及迁移上云服务</w:t>
            </w:r>
          </w:p>
        </w:tc>
        <w:tc>
          <w:tcPr>
            <w:tcW w:w="299" w:type="pct"/>
            <w:tcBorders>
              <w:top w:val="single" w:color="000000" w:sz="4" w:space="0"/>
              <w:left w:val="nil"/>
              <w:bottom w:val="single" w:color="000000" w:sz="4" w:space="0"/>
              <w:right w:val="nil"/>
            </w:tcBorders>
            <w:shd w:val="clear" w:color="auto" w:fill="auto"/>
            <w:noWrap/>
            <w:vAlign w:val="center"/>
          </w:tcPr>
          <w:p w14:paraId="052B1CC2">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4"/>
                <w:szCs w:val="24"/>
                <w:u w:val="none"/>
              </w:rPr>
            </w:pPr>
          </w:p>
        </w:tc>
        <w:tc>
          <w:tcPr>
            <w:tcW w:w="265" w:type="pct"/>
            <w:tcBorders>
              <w:top w:val="single" w:color="000000" w:sz="4" w:space="0"/>
              <w:left w:val="nil"/>
              <w:bottom w:val="single" w:color="000000" w:sz="4" w:space="0"/>
              <w:right w:val="nil"/>
            </w:tcBorders>
            <w:shd w:val="clear" w:color="auto" w:fill="auto"/>
            <w:noWrap/>
            <w:vAlign w:val="center"/>
          </w:tcPr>
          <w:p w14:paraId="63A77B4D">
            <w:pPr>
              <w:keepNext w:val="0"/>
              <w:keepLines w:val="0"/>
              <w:pageBreakBefore w:val="0"/>
              <w:widowControl/>
              <w:kinsoku/>
              <w:wordWrap/>
              <w:overflowPunct/>
              <w:topLinePunct w:val="0"/>
              <w:autoSpaceDE/>
              <w:autoSpaceDN/>
              <w:bidi w:val="0"/>
              <w:adjustRightInd w:val="0"/>
              <w:snapToGrid w:val="0"/>
              <w:spacing w:line="240" w:lineRule="auto"/>
              <w:ind w:firstLine="0" w:firstLineChars="0"/>
              <w:rPr>
                <w:rFonts w:hint="eastAsia" w:ascii="宋体" w:hAnsi="宋体" w:eastAsia="宋体" w:cs="宋体"/>
                <w:b/>
                <w:bCs/>
                <w:i w:val="0"/>
                <w:iCs w:val="0"/>
                <w:color w:val="000000"/>
                <w:sz w:val="24"/>
                <w:szCs w:val="24"/>
                <w:u w:val="none"/>
              </w:rPr>
            </w:pPr>
          </w:p>
        </w:tc>
      </w:tr>
      <w:tr w14:paraId="5CA21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3" w:hRule="atLeast"/>
        </w:trPr>
        <w:tc>
          <w:tcPr>
            <w:tcW w:w="560" w:type="pct"/>
            <w:vMerge w:val="restart"/>
            <w:tcBorders>
              <w:top w:val="single" w:color="000000" w:sz="4" w:space="0"/>
              <w:left w:val="single" w:color="000000" w:sz="4" w:space="0"/>
              <w:bottom w:val="nil"/>
              <w:right w:val="single" w:color="000000" w:sz="4" w:space="0"/>
            </w:tcBorders>
            <w:shd w:val="clear" w:color="auto" w:fill="auto"/>
            <w:noWrap/>
            <w:vAlign w:val="center"/>
          </w:tcPr>
          <w:p w14:paraId="650FA6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009" w:type="pct"/>
            <w:vMerge w:val="restart"/>
            <w:tcBorders>
              <w:top w:val="single" w:color="000000" w:sz="4" w:space="0"/>
              <w:left w:val="single" w:color="000000" w:sz="4" w:space="0"/>
              <w:bottom w:val="nil"/>
              <w:right w:val="single" w:color="000000" w:sz="4" w:space="0"/>
            </w:tcBorders>
            <w:shd w:val="clear" w:color="auto" w:fill="auto"/>
            <w:vAlign w:val="center"/>
          </w:tcPr>
          <w:p w14:paraId="7E03A76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中共临沧市纪律检查委员会官网适配及运维服务</w:t>
            </w:r>
          </w:p>
        </w:tc>
        <w:tc>
          <w:tcPr>
            <w:tcW w:w="2864" w:type="pct"/>
            <w:vMerge w:val="restart"/>
            <w:tcBorders>
              <w:top w:val="single" w:color="000000" w:sz="4" w:space="0"/>
              <w:left w:val="single" w:color="000000" w:sz="4" w:space="0"/>
              <w:right w:val="single" w:color="000000" w:sz="4" w:space="0"/>
            </w:tcBorders>
            <w:shd w:val="clear" w:color="auto" w:fill="auto"/>
            <w:vAlign w:val="center"/>
          </w:tcPr>
          <w:p w14:paraId="6C8CD53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1、提供至少一名项目经理提供远程支持服务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2、提供计算机及相关设备变更带来的环境适配对软件的适配调整服务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3、提供操作系统与软件适配带来对软件的调整服务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4、提供由于计算机及操作系统故障带来的系统重新安装服务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5、提供由于软件原因造成的故障排查和数据调整服务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6、提供系统日常运行过程中的技术咨询服务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临沧市纪律检查委员会官网系统运维：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1、保障网站系统现有功能运行正常，给网站管理人员功能使用培训。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2、派技术人员远程指导网站管理员管理网站系统。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3、为网站系统通过等保二级评测和商用密码使用评估进行的整改。</w:t>
            </w:r>
          </w:p>
        </w:tc>
        <w:tc>
          <w:tcPr>
            <w:tcW w:w="299" w:type="pct"/>
            <w:tcBorders>
              <w:top w:val="single" w:color="000000" w:sz="4" w:space="0"/>
              <w:left w:val="single" w:color="000000" w:sz="4" w:space="0"/>
              <w:right w:val="single" w:color="000000" w:sz="4" w:space="0"/>
            </w:tcBorders>
            <w:shd w:val="clear" w:color="auto" w:fill="auto"/>
            <w:noWrap/>
            <w:vAlign w:val="center"/>
          </w:tcPr>
          <w:p w14:paraId="686285A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nil"/>
              <w:right w:val="single" w:color="000000" w:sz="4" w:space="0"/>
            </w:tcBorders>
            <w:shd w:val="clear" w:color="auto" w:fill="auto"/>
            <w:noWrap/>
            <w:vAlign w:val="center"/>
          </w:tcPr>
          <w:p w14:paraId="3ECA1C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9591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58D23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nil"/>
              <w:right w:val="single" w:color="000000" w:sz="4" w:space="0"/>
            </w:tcBorders>
            <w:shd w:val="clear" w:color="auto" w:fill="auto"/>
            <w:vAlign w:val="center"/>
          </w:tcPr>
          <w:p w14:paraId="69F450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vMerge w:val="continue"/>
            <w:tcBorders>
              <w:left w:val="single" w:color="000000" w:sz="4" w:space="0"/>
              <w:bottom w:val="single" w:color="000000" w:sz="4" w:space="0"/>
              <w:right w:val="single" w:color="000000" w:sz="4" w:space="0"/>
            </w:tcBorders>
            <w:shd w:val="clear" w:color="auto" w:fill="auto"/>
            <w:vAlign w:val="center"/>
          </w:tcPr>
          <w:p w14:paraId="64EE05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5F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72A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p>
        </w:tc>
      </w:tr>
      <w:tr w14:paraId="4AC53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nil"/>
              <w:right w:val="single" w:color="000000" w:sz="4" w:space="0"/>
            </w:tcBorders>
            <w:shd w:val="clear" w:color="auto" w:fill="auto"/>
            <w:noWrap/>
            <w:vAlign w:val="center"/>
          </w:tcPr>
          <w:p w14:paraId="435E407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009" w:type="pct"/>
            <w:vMerge w:val="restart"/>
            <w:tcBorders>
              <w:top w:val="single" w:color="000000" w:sz="4" w:space="0"/>
              <w:left w:val="single" w:color="000000" w:sz="4" w:space="0"/>
              <w:bottom w:val="nil"/>
              <w:right w:val="single" w:color="000000" w:sz="4" w:space="0"/>
            </w:tcBorders>
            <w:shd w:val="clear" w:color="auto" w:fill="auto"/>
            <w:vAlign w:val="center"/>
          </w:tcPr>
          <w:p w14:paraId="662E26A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临沧市民政局数据共享交换平台适配及运维服务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75EA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应用系统功能适配：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为适配国产操作系统、中间件、数据库等，需要对临沧市民政局数据共享交换系统进行适配升级，包括1个电脑端web应用和1个微信小程序</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E1B8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63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0A0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5664FF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nil"/>
              <w:right w:val="single" w:color="000000" w:sz="4" w:space="0"/>
            </w:tcBorders>
            <w:shd w:val="clear" w:color="auto" w:fill="auto"/>
            <w:vAlign w:val="center"/>
          </w:tcPr>
          <w:p w14:paraId="01B0AF5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269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平台接口适配：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按照信创适配要求，对平台所涉及的接口进行信创适配及标准化处理</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BA35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77DB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E61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774E3D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nil"/>
              <w:right w:val="single" w:color="000000" w:sz="4" w:space="0"/>
            </w:tcBorders>
            <w:shd w:val="clear" w:color="auto" w:fill="auto"/>
            <w:vAlign w:val="center"/>
          </w:tcPr>
          <w:p w14:paraId="213799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0DE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国产操作系统、中间件、数据库适配：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将平台服务器、节点及终端操作系统统一迁移至国产操作系统、国产数据库，替换现有中间件为国产中间件，完成兼容性测试与优化</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17E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A256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5305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6FD5E0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nil"/>
              <w:right w:val="single" w:color="000000" w:sz="4" w:space="0"/>
            </w:tcBorders>
            <w:shd w:val="clear" w:color="auto" w:fill="auto"/>
            <w:vAlign w:val="center"/>
          </w:tcPr>
          <w:p w14:paraId="527070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628C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技术框架适配与系统整体迁移适配：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将现有系统迁移至政务信创云平台，完成应用支撑软件适配、资源部署、网络配置与环境验证，检查应用框架，修正依赖问题，完成性能与稳定性测试</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22E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864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7B1B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2289C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nil"/>
              <w:right w:val="single" w:color="000000" w:sz="4" w:space="0"/>
            </w:tcBorders>
            <w:shd w:val="clear" w:color="auto" w:fill="auto"/>
            <w:vAlign w:val="center"/>
          </w:tcPr>
          <w:p w14:paraId="037A99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F7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密码服务适配：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与政务信创云平台对接密码服务，完成算法接口调用、加密存储、签名验签功能适配（不含密评）</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2316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E7A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A1C9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6" w:hRule="atLeast"/>
        </w:trPr>
        <w:tc>
          <w:tcPr>
            <w:tcW w:w="560"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B90F9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nil"/>
              <w:right w:val="single" w:color="000000" w:sz="4" w:space="0"/>
            </w:tcBorders>
            <w:shd w:val="clear" w:color="auto" w:fill="auto"/>
            <w:vAlign w:val="center"/>
          </w:tcPr>
          <w:p w14:paraId="182C9BB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right w:val="single" w:color="000000" w:sz="4" w:space="0"/>
            </w:tcBorders>
            <w:shd w:val="clear" w:color="auto" w:fill="auto"/>
            <w:vAlign w:val="center"/>
          </w:tcPr>
          <w:p w14:paraId="1E63932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系统运维服务：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提供1年的系统运维保障服务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3F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right w:val="single" w:color="000000" w:sz="4" w:space="0"/>
            </w:tcBorders>
            <w:shd w:val="clear" w:color="auto" w:fill="auto"/>
            <w:noWrap/>
            <w:vAlign w:val="center"/>
          </w:tcPr>
          <w:p w14:paraId="6F68D0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6AD5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ED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0BC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临沧市政协网站国产化适配及迁移服务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89B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国产化适配：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全量国产化适配改造，完成适配国产服务器、国产操作系统、国产中间件、国产数据库；优化前端兼容问题、后台程序适配问题，修正非信创环境依赖代码，确保系统在国产信创环境下稳定、完整、正常运行。</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AED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3FB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A27C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71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E5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FDBA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系统迁移实施服务：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负责国产信创服务器环境搭建、参数配置、服务部署；对原有网站数据进行清洗、迁移、导入、校验；完成新旧系统切换、环境调优、服务启停测试，保障迁移过程数据完整、业务平稳过渡、系统零故障上线。</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E453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D8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2403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433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846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9A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测试验收服务：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开展信创环境全功能测试、兼容性测试、稳定性测试、页面适配测试、后台管理功能测试；排查适配漏洞并完成闭环整改；编制国产化适配测试报告、验收资料、技术说明文档，全程配合甲方完成项目验收。</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304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41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9CB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8"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710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AC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right w:val="single" w:color="000000" w:sz="4" w:space="0"/>
            </w:tcBorders>
            <w:shd w:val="clear" w:color="auto" w:fill="auto"/>
            <w:vAlign w:val="center"/>
          </w:tcPr>
          <w:p w14:paraId="5115C2D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培训交接服务：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针对信创新环境后台操作、日常运维、内容发布、系统管理、环境维护开展专项培训；交付全套部署文档、运维手册、适配说明、账号资料、测试资料；提供一年免费远程技术支撑、问题答疑、运维指导及项目售后保障服务。</w:t>
            </w:r>
          </w:p>
        </w:tc>
        <w:tc>
          <w:tcPr>
            <w:tcW w:w="299" w:type="pct"/>
            <w:tcBorders>
              <w:top w:val="single" w:color="000000" w:sz="4" w:space="0"/>
              <w:left w:val="single" w:color="000000" w:sz="4" w:space="0"/>
              <w:right w:val="single" w:color="000000" w:sz="4" w:space="0"/>
            </w:tcBorders>
            <w:shd w:val="clear" w:color="auto" w:fill="auto"/>
            <w:noWrap/>
            <w:vAlign w:val="center"/>
          </w:tcPr>
          <w:p w14:paraId="045603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D04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44B9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B17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9F32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临沧市退役军人事务局临沧兵服务平台适配迁移服务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EA0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应用与国产CPU适配：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根据实际信创云提供的国产CPU环境进行适配，如鲲鹏、飞腾、海光等；按一个实际选定的目标环境测算，不包含同时适配多个CPU架构。</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D24B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216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0861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FB7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0DE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2E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国产数据库及数据迁移：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1.数据库适配:转换建表、自增、索引、日期函数、IFNULL、GROUP_CONCAT、FIND_IN_SET、LIMIT及保留字等;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2.驱动及ORM分页适配:替换达梦JDBC驱动，调整Druid、MyBatis、PageHelper及代码生成器元数据查询;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3.数据迁移:完成MySQL至达梦的表结构、数据、索引和账号权限迁移及校验;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4.缓存适配:对云平台提供的Redis或国产Redis协议兼容缓存进行连接、序列化、TTL及常用命令验证;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5.文件迁移:将现有上传目录迁移到对方提供的共享文件或对象存储;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6.迁移演练:实施迁移演练，记录停机窗口、校验结果和回退点。</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852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FAC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3CCA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8"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F6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275A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000000" w:sz="4" w:space="0"/>
              <w:left w:val="single" w:color="000000" w:sz="4" w:space="0"/>
              <w:right w:val="single" w:color="000000" w:sz="4" w:space="0"/>
            </w:tcBorders>
            <w:shd w:val="clear" w:color="auto" w:fill="auto"/>
            <w:vAlign w:val="center"/>
          </w:tcPr>
          <w:p w14:paraId="63C8BFB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部署测试及安全整改服务：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1.配置与密钥整改；轮换明文数据库、缓存、JWT及微信密钥，改为外部配置；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2.核心功能回归测试；覆盖登录、认证、工单、优待、招聘、问卷、上传、PDF及微信小程序主要流程；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3.国产环境兼容与性能验证；在实际选定的国产CPU及国产操作系统环境开展核心功能、稳定性和基础性能验证；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4.割接与回退实施；执行停机、增量数据处理、域名切换、业务核验和回退保障；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5.部署及监控配置；完成应用部署、日志、监控、备份和启动停止脚本配置；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6.文档与上线支持；提交部署运维、备份恢复、应急预案及适配说明，并提供上线支持。</w:t>
            </w:r>
          </w:p>
        </w:tc>
        <w:tc>
          <w:tcPr>
            <w:tcW w:w="299" w:type="pct"/>
            <w:tcBorders>
              <w:top w:val="single" w:color="000000" w:sz="4" w:space="0"/>
              <w:left w:val="single" w:color="000000" w:sz="4" w:space="0"/>
              <w:right w:val="single" w:color="000000" w:sz="4" w:space="0"/>
            </w:tcBorders>
            <w:shd w:val="clear" w:color="auto" w:fill="auto"/>
            <w:noWrap/>
            <w:vAlign w:val="center"/>
          </w:tcPr>
          <w:p w14:paraId="50ECA60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A15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96D8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EF3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0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E005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临沧市交通运输综合监管与服务平台适配迁移服务</w:t>
            </w:r>
          </w:p>
        </w:tc>
        <w:tc>
          <w:tcPr>
            <w:tcW w:w="2864" w:type="pct"/>
            <w:tcBorders>
              <w:top w:val="single" w:color="000000" w:sz="4" w:space="0"/>
              <w:left w:val="single" w:color="000000" w:sz="4" w:space="0"/>
              <w:bottom w:val="single" w:color="auto" w:sz="4" w:space="0"/>
              <w:right w:val="single" w:color="000000" w:sz="4" w:space="0"/>
            </w:tcBorders>
            <w:shd w:val="clear" w:color="auto" w:fill="auto"/>
            <w:vAlign w:val="center"/>
          </w:tcPr>
          <w:p w14:paraId="732E5C5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软件适配服务：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完成系统信创适配改造，包含web应用和微信公众号：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（1）CPU/OS环境适配；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（2）数据库与中间件接口等相关信创改造；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（3）配置中心信创环境适配与安全加固；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（4）系统所有功能数据库、中间件兼容性调整，性能调优；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（5）五层联调（硬件、OS、数据库、中间件、应用）；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（6）系统全量应用回归测试与问题修复。</w:t>
            </w:r>
          </w:p>
        </w:tc>
        <w:tc>
          <w:tcPr>
            <w:tcW w:w="299"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39D76E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7D964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84E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5" w:hRule="atLeast"/>
        </w:trPr>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9F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1009"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1A58B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i w:val="0"/>
                <w:iCs w:val="0"/>
                <w:color w:val="000000"/>
                <w:sz w:val="24"/>
                <w:szCs w:val="24"/>
                <w:u w:val="none"/>
              </w:rPr>
            </w:pPr>
          </w:p>
        </w:tc>
        <w:tc>
          <w:tcPr>
            <w:tcW w:w="2864" w:type="pct"/>
            <w:tcBorders>
              <w:top w:val="single" w:color="auto" w:sz="4" w:space="0"/>
              <w:left w:val="single" w:color="auto" w:sz="4" w:space="0"/>
              <w:bottom w:val="single" w:color="auto" w:sz="4" w:space="0"/>
              <w:right w:val="single" w:color="auto" w:sz="4" w:space="0"/>
            </w:tcBorders>
            <w:shd w:val="clear" w:color="auto" w:fill="auto"/>
            <w:vAlign w:val="center"/>
          </w:tcPr>
          <w:p w14:paraId="3CE0AE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完成迁移实施与数据迁移：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（1）数据库数据迁移：结构迁移、全量数据迁移、清洗与一致性校验；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（2）对象存储迁移（附件约0.77TB），含元数据映射、权限同步、可用性校验；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（3）现有系统迁移至政务信创云平台，完成应用支撑软件适配、资源部署、网络配置与环境验证，解决迁移问题，完成性能与稳定性测试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（4）上线割接、迁移演练、回退预案与现场保障。</w:t>
            </w:r>
          </w:p>
        </w:tc>
        <w:tc>
          <w:tcPr>
            <w:tcW w:w="29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839EC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EDB37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EE97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7733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w:t>
            </w:r>
          </w:p>
        </w:tc>
        <w:tc>
          <w:tcPr>
            <w:tcW w:w="3874" w:type="pct"/>
            <w:gridSpan w:val="2"/>
            <w:tcBorders>
              <w:top w:val="single" w:color="000000" w:sz="4" w:space="0"/>
              <w:left w:val="single" w:color="000000" w:sz="4" w:space="0"/>
              <w:bottom w:val="single" w:color="000000" w:sz="4" w:space="0"/>
              <w:right w:val="nil"/>
            </w:tcBorders>
            <w:shd w:val="clear" w:color="auto" w:fill="auto"/>
            <w:noWrap/>
            <w:vAlign w:val="center"/>
          </w:tcPr>
          <w:p w14:paraId="4E7599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密评及等保测评服务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C05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4"/>
                <w:szCs w:val="24"/>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CE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宋体" w:hAnsi="宋体" w:eastAsia="宋体" w:cs="宋体"/>
                <w:b/>
                <w:bCs/>
                <w:i w:val="0"/>
                <w:iCs w:val="0"/>
                <w:color w:val="000000"/>
                <w:sz w:val="24"/>
                <w:szCs w:val="24"/>
                <w:u w:val="none"/>
              </w:rPr>
            </w:pPr>
          </w:p>
        </w:tc>
      </w:tr>
      <w:tr w14:paraId="040D4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63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0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857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商用密码应用安全性评估服务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82AC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1、严格按照《GB/T 43207-2023信息安全技术 信息系统密码应用设计指南》开展方案评估工作，保证评估工作的独立性、准确性和公正性。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2、严格按照《GB/T 43206-2023信息安全技术 信息系统密码应用测评要求》开展评估工作，保证评估工作的独立性、准确性和公正性。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3、对系统的密码应用建设方案进行评审，确保方案内容完整、设计合理、技术路线可行，适用于指导系统密码应用实施建设，并出具《系统名称密码应用方案商用密码应用与安全性评估报告》。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4、对被测信息系统，从物理和环境安全、网络和通信安全、设备和计算安全、应用和数据安全、管理制度、人员管理、建设运行和应急处置方面的开展评估工作，出具《商用密码应用与安全性评估报告》。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 免费提供国密局备案材料填写咨询、密改咨询、密码安全管理制度编写等服务。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873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4F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27E1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4A0D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4.2</w:t>
            </w:r>
          </w:p>
        </w:tc>
        <w:tc>
          <w:tcPr>
            <w:tcW w:w="10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10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等级保护测评服务</w:t>
            </w:r>
          </w:p>
        </w:tc>
        <w:tc>
          <w:tcPr>
            <w:tcW w:w="2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A80E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1、严格按照《GBT28448-2019信息安全技术网络安全等级保护测评要求》、《GBT22239-2019信息安全技术网络安全等级保护基本要求》开展测评工作，保证测评工作的独立性、准确性和公正性。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2、除法律要求以外，项目相关人员对测评活动中获得或产生的所有信息保密；不擅自进行渗透测试，以免对客户系统的正常运行造成不利影响。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对被测信息系统，从安全物理环境、安全区域边界、安全计算环境、安全通信网络、安全管理中心、安全管理机构、安全管理制度、安全管理人员、安全建设管理和安全运维管理等十个方面的开展测评工作，出具《网络安全等级保护测评报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4、提供定级备案、安全加固咨询、网络安全管理制度编写、渗透测试 、网络安全培训等服务</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00E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004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bl>
    <w:p w14:paraId="68682B0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Emoji">
    <w:panose1 w:val="020B0502040204020203"/>
    <w:charset w:val="00"/>
    <w:family w:val="auto"/>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DA0AD"/>
    <w:rsid w:val="675F764F"/>
    <w:rsid w:val="FFBDA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360" w:lineRule="auto"/>
      <w:ind w:firstLine="883" w:firstLineChars="200"/>
      <w:jc w:val="both"/>
    </w:pPr>
    <w:rPr>
      <w:rFonts w:ascii="宋体" w:hAnsi="宋体" w:eastAsia="宋体" w:cstheme="minorBidi"/>
      <w:kern w:val="2"/>
      <w:sz w:val="28"/>
      <w:szCs w:val="24"/>
      <w:lang w:val="en-US" w:eastAsia="zh-CN" w:bidi="ar-SA"/>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note text"/>
    <w:basedOn w:val="1"/>
    <w:unhideWhenUsed/>
    <w:qFormat/>
    <w:uiPriority w:val="99"/>
    <w:pPr>
      <w:adjustRightInd/>
      <w:jc w:val="left"/>
    </w:pPr>
    <w:rPr>
      <w:sz w:val="18"/>
      <w:szCs w:val="21"/>
    </w:rPr>
  </w:style>
  <w:style w:type="character" w:customStyle="1" w:styleId="6">
    <w:name w:val="font11"/>
    <w:basedOn w:val="5"/>
    <w:qFormat/>
    <w:uiPriority w:val="0"/>
    <w:rPr>
      <w:rFonts w:hint="eastAsia" w:ascii="宋体" w:hAnsi="宋体" w:eastAsia="宋体" w:cs="宋体"/>
      <w:b/>
      <w:bCs/>
      <w:color w:val="000000"/>
      <w:sz w:val="22"/>
      <w:szCs w:val="22"/>
      <w:u w:val="none"/>
    </w:rPr>
  </w:style>
  <w:style w:type="character" w:customStyle="1" w:styleId="7">
    <w:name w:val="font01"/>
    <w:basedOn w:val="5"/>
    <w:uiPriority w:val="0"/>
    <w:rPr>
      <w:rFonts w:hint="eastAsia" w:ascii="宋体" w:hAnsi="宋体" w:eastAsia="宋体" w:cs="宋体"/>
      <w:color w:val="000000"/>
      <w:sz w:val="22"/>
      <w:szCs w:val="22"/>
      <w:u w:val="none"/>
    </w:rPr>
  </w:style>
  <w:style w:type="character" w:customStyle="1" w:styleId="8">
    <w:name w:val="font251"/>
    <w:basedOn w:val="5"/>
    <w:qFormat/>
    <w:uiPriority w:val="0"/>
    <w:rPr>
      <w:rFonts w:ascii="Arial" w:hAnsi="Arial" w:cs="Arial"/>
      <w:color w:val="000000"/>
      <w:sz w:val="20"/>
      <w:szCs w:val="20"/>
      <w:u w:val="none"/>
    </w:rPr>
  </w:style>
  <w:style w:type="character" w:customStyle="1" w:styleId="9">
    <w:name w:val="font31"/>
    <w:basedOn w:val="5"/>
    <w:qFormat/>
    <w:uiPriority w:val="0"/>
    <w:rPr>
      <w:rFonts w:hint="eastAsia" w:ascii="宋体" w:hAnsi="宋体" w:eastAsia="宋体" w:cs="宋体"/>
      <w:color w:val="000000"/>
      <w:sz w:val="20"/>
      <w:szCs w:val="20"/>
      <w:u w:val="none"/>
    </w:rPr>
  </w:style>
  <w:style w:type="character" w:customStyle="1" w:styleId="10">
    <w:name w:val="font261"/>
    <w:basedOn w:val="5"/>
    <w:uiPriority w:val="0"/>
    <w:rPr>
      <w:rFonts w:hint="eastAsia" w:ascii="宋体" w:hAnsi="宋体" w:eastAsia="宋体" w:cs="宋体"/>
      <w:b/>
      <w:bCs/>
      <w:color w:val="000000"/>
      <w:sz w:val="20"/>
      <w:szCs w:val="20"/>
      <w:u w:val="none"/>
    </w:rPr>
  </w:style>
  <w:style w:type="character" w:customStyle="1" w:styleId="11">
    <w:name w:val="font4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48</Pages>
  <Words>27492</Words>
  <Characters>32450</Characters>
  <Lines>0</Lines>
  <Paragraphs>0</Paragraphs>
  <TotalTime>1</TotalTime>
  <ScaleCrop>false</ScaleCrop>
  <LinksUpToDate>false</LinksUpToDate>
  <CharactersWithSpaces>32791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2026-08-21T17:49:00Z</dcterms:created>
  <dc:creator>白海坤</dc:creator>
  <cp:lastModifiedBy>白雪</cp:lastModifiedBy>
  <dcterms:modified xsi:type="dcterms:W3CDTF">2026-09-04T06:20:03Z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B81BD2AE5BC54DB8AE0AD1221424BF6D_13</vt:lpwstr>
  </property>
</Properties>
</file>