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兴业银行昆明分行关于2026年商圈停车场媒体资源（LED刷屏机</w:t>
      </w:r>
      <w:r>
        <w:rPr>
          <w:rStyle w:val="11"/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及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固定看板大牌）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广告</w:t>
      </w:r>
      <w:r>
        <w:rPr>
          <w:rStyle w:val="11"/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采购</w:t>
      </w:r>
      <w:r>
        <w:rPr>
          <w:rStyle w:val="11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项目供应商征集公告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bidi="ar"/>
        </w:rPr>
        <w:t>根据我行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品牌宣传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bidi="ar"/>
        </w:rPr>
        <w:t>工作需要，我行开展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2026年商圈停车场媒体资源（LED刷屏机及固定看板大牌）广告项目采购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bidi="ar"/>
        </w:rPr>
        <w:t>，现公开对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2026年商圈停车场媒体资源（LED刷屏机及固定看板大牌）广告采购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bidi="ar"/>
        </w:rPr>
        <w:t>项目进行供应商征集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lang w:bidi="ar"/>
        </w:rPr>
        <w:t>，有关事宜公告如下：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采购需求及资格要求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outlineLvl w:val="1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采购需求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bidi w:val="0"/>
        <w:snapToGrid/>
        <w:spacing w:line="579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为持续宣传我行品牌，打造主流银行影响力，助力分行业务发展，现开展昆明分行2026年商圈停车场媒体资源（LED刷屏机及固定看板大牌）广告项目采购。具体要求如下：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商圈停车场媒体资源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LED刷屏机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固定看板大牌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商圈/数量要求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不少于含顺城购物中心、同德昆明广场、公园1903、昆明万象城、南亚风情第壹城在内的5个核心商圈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在LED刷屏机对应的核心商圈内的可投放总数不少于5块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outlineLvl w:val="1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1.2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1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能够实现昆明市区主流商圈停车场媒体资源金融类广告投放（LED刷屏机及固定看板大牌），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包括不限于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顺城购物中心、同德昆明广场、公园1903、昆明万象城、南亚风情第壹城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1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1.3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人员资质要求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配备专人负责我行对接工作，有完备的售后服务渠道。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3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1.4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供应商资质要求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1.4.1  企业成立一年以上，经营正常，可稳定提供服务。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outlineLvl w:val="2"/>
        <w:rPr>
          <w:rFonts w:hint="eastAsia" w:ascii="仿宋" w:hAnsi="仿宋" w:eastAsia="仿宋" w:cs="仿宋"/>
          <w:i/>
          <w:iCs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1.4.2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1月1日至今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与20家国内系统重要性银行</w:t>
      </w:r>
      <w:r>
        <w:rPr>
          <w:rStyle w:val="12"/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"/>
        </w:rPr>
        <w:footnoteReference w:id="0"/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  <w:lang w:val="en-US" w:eastAsia="zh-CN"/>
        </w:rPr>
        <w:t>分行级/或其子公司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合作开展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采购内容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相似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成功案例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须提供相关案例合同证明材料，以合同签订日期为准）。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1.4.3  具备包括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顺城购物中心、同德昆明广场、公园1903、昆明万象城、南亚风情第壹城在内的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停车场媒体资源（LED刷屏机及固定看板大牌）产权或经营权授权，并出具相关佐证材料。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2.1 依法成立，为存续、在营、开业、在册、登记成立等正常企业状态。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 在兴业银行开立对公账户，若中标本项目，则通过兴业银行对公账户结算该项目相关费用。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2.3 充分理解我行服务需求并能够根据需求提供相应的服务。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2.4 具有良好的商业信誉且经营正常。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2.5 依法缴纳税收和社会保障资金。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2.6 未被“信用中国”网列入“重大税收违法案件当事人名单”、未被“中国执行信息公开网”列入“失信被执行人名单”、未被“中国政府采购网”列入“政府采购严重违法失信行为信息记录名单”、未被“国家企业信用信息公示系统”列入网站“严重违法失信企业名单”，不在兴业银行供应商禁用/退出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2.7 经营范围经国家行政管理部门依法批准，同时获得从事行业有效执业证明、行政许可、专业资质等证照。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2.8 两年内目标服务领域未出现严重安全事件。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三、报名方式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 w:val="0"/>
        <w:bidi w:val="0"/>
        <w:adjustRightInd w:val="0"/>
        <w:snapToGrid/>
        <w:spacing w:after="0"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</w:rPr>
        <w:t>采购部门联系人：</w:t>
      </w:r>
    </w:p>
    <w:p>
      <w:pPr>
        <w:pStyle w:val="2"/>
        <w:spacing w:after="0" w:line="579" w:lineRule="exact"/>
        <w:ind w:left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段老师，联系电话：0871-63061820</w:t>
      </w:r>
    </w:p>
    <w:p>
      <w:pPr>
        <w:pStyle w:val="2"/>
        <w:spacing w:after="0" w:line="579" w:lineRule="exact"/>
        <w:ind w:left="0" w:firstLine="640" w:firstLineChars="200"/>
        <w:rPr>
          <w:rFonts w:hint="default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时间：工作日8:30—12:00，14:30—18:00(其他时间请勿打扰)。供应商如有意向参与，请先登录兴业银行采购门户（https://cg.cib.com.cn/）提交资料申请注册账号。注册审批通过后供应商可登录兴业银行采购门户，通过首页“采购管理”—“供应商寻源”—“待报名列表”中找到本次项目，点击“报名”即可参与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outlineLvl w:val="1"/>
        <w:rPr>
          <w:rFonts w:hint="default"/>
          <w:i w:val="0"/>
          <w:iCs w:val="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</w:rPr>
        <w:t>欢迎各供应商对此项目的需求、技术要求、服务要求提出书面意见或建议，若有请将于征集截止时间前提交至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duanyumei@cib.com.cn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</w:rPr>
        <w:t>邮箱，相关意见本行接收后将不再另行回复。邮件及材料请标明：《兴业银行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  <w:lang w:val="en-US" w:eastAsia="zh-CN"/>
        </w:rPr>
        <w:t>昆明分行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2026年商圈停车场媒体资源（LED刷屏机及固定看板大牌）广告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</w:rPr>
        <w:t>采购项目》需求意见或建议-公司名称（全称）。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报名注意事项：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提交的供应商资料内容包括如下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材料1：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</w:rPr>
        <w:t>《兴业银行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  <w:lang w:val="en-US" w:eastAsia="zh-CN"/>
        </w:rPr>
        <w:t>昆明分行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2026年商圈停车场媒体资源（LED刷屏机及固定看板大牌）广告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</w:rPr>
        <w:t>采购项目》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供应商征集反馈材料-公司名称（全称）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材料2：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兴业银行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  <w:lang w:val="en-US" w:eastAsia="zh-CN"/>
        </w:rPr>
        <w:t>昆明分行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2026年商圈停车场媒体资源（LED刷屏机及固定看板大牌）广告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</w:rPr>
        <w:t>采购项目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信息收集表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79" w:lineRule="exac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材料3：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以上三项材料填报模板详见本公告附件，提交材料1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2无需加盖公司（单位）公章。材料3需加盖公司（单位）公章或者由法定代表人签字。材料1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</w:rPr>
        <w:t>3请仅上传一份文件，拆分上传多份文件视为无效应答。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调研若有变更，请以兴业银行采购门户最新发布的征集调研信息为准。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1.能够完全满足我行采购需求、有合作意向、符合资格要求、报名要求的供应商均可报名。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2.本次市场调研不代表采购邀请或意向，仅为调研市场情况发起。若需后续对接，我行将会主动联系报名者；未予联系的报名者，我行将对材料予以保密。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3.本次市场调研不收取供应商的任何费用。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4.供应商须对报名信息和资料的真实性负责。如提供虚假材料，将取消报名资格并列入我行供应商黑名单。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5.对于上述事项存在疑问的，请及时与我行联系。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五、征集时间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本次供应商征集自即日起至</w:t>
      </w: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eastAsia" w:eastAsia="仿宋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18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日23：59止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彩虹粗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440" w:lineRule="exact"/>
        <w:textAlignment w:val="auto"/>
        <w:rPr>
          <w:rStyle w:val="12"/>
          <w:rFonts w:hint="eastAsia" w:ascii="宋体" w:hAnsi="宋体" w:eastAsia="宋体" w:cs="宋体"/>
          <w:sz w:val="21"/>
          <w:szCs w:val="21"/>
          <w:highlight w:val="none"/>
          <w:vertAlign w:val="baseline"/>
          <w:lang w:eastAsia="zh-CN"/>
        </w:rPr>
      </w:pPr>
      <w:r>
        <w:rPr>
          <w:rStyle w:val="12"/>
          <w:rFonts w:hint="eastAsia" w:ascii="宋体" w:hAnsi="宋体" w:eastAsia="宋体" w:cs="宋体"/>
          <w:sz w:val="28"/>
          <w:szCs w:val="28"/>
          <w:highlight w:val="none"/>
        </w:rPr>
        <w:footnoteRef/>
      </w:r>
      <w:r>
        <w:rPr>
          <w:rStyle w:val="12"/>
          <w:rFonts w:hint="eastAsia" w:ascii="宋体" w:hAnsi="宋体" w:eastAsia="宋体" w:cs="宋体"/>
          <w:sz w:val="21"/>
          <w:szCs w:val="21"/>
          <w:highlight w:val="none"/>
          <w:vertAlign w:val="baseline"/>
        </w:rPr>
        <w:t>工行、中行、建行、农行、交行、邮储</w:t>
      </w:r>
      <w:r>
        <w:rPr>
          <w:rFonts w:hint="eastAsia" w:ascii="宋体" w:hAnsi="宋体" w:eastAsia="宋体" w:cs="宋体"/>
          <w:sz w:val="21"/>
          <w:szCs w:val="21"/>
          <w:highlight w:val="none"/>
          <w:vertAlign w:val="baseline"/>
          <w:lang w:eastAsia="zh-CN"/>
        </w:rPr>
        <w:t>、</w:t>
      </w:r>
      <w:r>
        <w:rPr>
          <w:rStyle w:val="12"/>
          <w:rFonts w:hint="eastAsia" w:ascii="宋体" w:hAnsi="宋体" w:eastAsia="宋体" w:cs="宋体"/>
          <w:sz w:val="21"/>
          <w:szCs w:val="21"/>
          <w:highlight w:val="none"/>
          <w:vertAlign w:val="baseline"/>
        </w:rPr>
        <w:t>招商、兴业、中信、浦发、光大、民生、平安、华夏、广发、宁波、江苏、上海、北京、南京</w:t>
      </w:r>
      <w:r>
        <w:rPr>
          <w:rFonts w:hint="eastAsia" w:ascii="宋体" w:hAnsi="宋体" w:eastAsia="宋体" w:cs="宋体"/>
          <w:sz w:val="21"/>
          <w:szCs w:val="21"/>
          <w:highlight w:val="none"/>
          <w:vertAlign w:val="baseline"/>
          <w:lang w:eastAsia="zh-CN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240C4"/>
    <w:rsid w:val="00517F2B"/>
    <w:rsid w:val="0CE932AD"/>
    <w:rsid w:val="0D860DB5"/>
    <w:rsid w:val="10CF301B"/>
    <w:rsid w:val="113761C4"/>
    <w:rsid w:val="133B1AE5"/>
    <w:rsid w:val="149279EE"/>
    <w:rsid w:val="15B32578"/>
    <w:rsid w:val="172B257C"/>
    <w:rsid w:val="177C53A9"/>
    <w:rsid w:val="186C3A99"/>
    <w:rsid w:val="19D13F97"/>
    <w:rsid w:val="1F207320"/>
    <w:rsid w:val="1FD87E1C"/>
    <w:rsid w:val="205D3D8F"/>
    <w:rsid w:val="225751A9"/>
    <w:rsid w:val="22BB00FD"/>
    <w:rsid w:val="2318273C"/>
    <w:rsid w:val="242F676F"/>
    <w:rsid w:val="258A67C3"/>
    <w:rsid w:val="285627DA"/>
    <w:rsid w:val="2B3F0D6E"/>
    <w:rsid w:val="2B872180"/>
    <w:rsid w:val="2B9B6516"/>
    <w:rsid w:val="2D04113A"/>
    <w:rsid w:val="2F105688"/>
    <w:rsid w:val="2FB64FF1"/>
    <w:rsid w:val="329E336A"/>
    <w:rsid w:val="330E46CD"/>
    <w:rsid w:val="337514EA"/>
    <w:rsid w:val="35A21432"/>
    <w:rsid w:val="38C25B1D"/>
    <w:rsid w:val="39F74F62"/>
    <w:rsid w:val="3A2240C4"/>
    <w:rsid w:val="3B0F0E51"/>
    <w:rsid w:val="3E0B7BF8"/>
    <w:rsid w:val="3E8C7EE5"/>
    <w:rsid w:val="411F48AE"/>
    <w:rsid w:val="41365DED"/>
    <w:rsid w:val="41C95430"/>
    <w:rsid w:val="41D43019"/>
    <w:rsid w:val="46547912"/>
    <w:rsid w:val="48B613E0"/>
    <w:rsid w:val="4997571B"/>
    <w:rsid w:val="4B6075AA"/>
    <w:rsid w:val="4EE54A0B"/>
    <w:rsid w:val="55D609A1"/>
    <w:rsid w:val="56206B19"/>
    <w:rsid w:val="56656CDC"/>
    <w:rsid w:val="58C1126D"/>
    <w:rsid w:val="5AC742AA"/>
    <w:rsid w:val="5BCB7266"/>
    <w:rsid w:val="60221A47"/>
    <w:rsid w:val="605B2F52"/>
    <w:rsid w:val="65702F35"/>
    <w:rsid w:val="659641BA"/>
    <w:rsid w:val="6A970569"/>
    <w:rsid w:val="6BC95E0C"/>
    <w:rsid w:val="6C157962"/>
    <w:rsid w:val="703B2F3A"/>
    <w:rsid w:val="71516032"/>
    <w:rsid w:val="717808ED"/>
    <w:rsid w:val="71806820"/>
    <w:rsid w:val="735B695F"/>
    <w:rsid w:val="78EC5072"/>
    <w:rsid w:val="79B77EF5"/>
    <w:rsid w:val="79E22363"/>
    <w:rsid w:val="7A5729B0"/>
    <w:rsid w:val="7B77737B"/>
    <w:rsid w:val="7D2DB021"/>
    <w:rsid w:val="7E0670FC"/>
    <w:rsid w:val="7E461D73"/>
    <w:rsid w:val="7F753237"/>
    <w:rsid w:val="FC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opLinePunct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tabs>
        <w:tab w:val="left" w:pos="0"/>
        <w:tab w:val="left" w:pos="993"/>
        <w:tab w:val="left" w:pos="1134"/>
      </w:tabs>
      <w:spacing w:line="312" w:lineRule="atLeast"/>
      <w:ind w:firstLine="420"/>
    </w:pPr>
  </w:style>
  <w:style w:type="paragraph" w:styleId="3">
    <w:name w:val="Body Text Indent"/>
    <w:basedOn w:val="1"/>
    <w:next w:val="2"/>
    <w:qFormat/>
    <w:uiPriority w:val="0"/>
    <w:pPr>
      <w:autoSpaceDE w:val="0"/>
      <w:autoSpaceDN w:val="0"/>
      <w:adjustRightInd w:val="0"/>
      <w:spacing w:after="120" w:line="360" w:lineRule="atLeast"/>
      <w:ind w:left="900"/>
    </w:pPr>
    <w:rPr>
      <w:rFonts w:ascii="楷体_GB2312" w:eastAsia="楷体_GB2312"/>
      <w:kern w:val="0"/>
      <w:sz w:val="28"/>
      <w:szCs w:val="20"/>
    </w:rPr>
  </w:style>
  <w:style w:type="paragraph" w:customStyle="1" w:styleId="4">
    <w:name w:val="正文格式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hint="default" w:ascii="宋体" w:hAnsi="宋体" w:eastAsia="彩虹粗仿宋" w:cs="Times New Roman"/>
      <w:kern w:val="2"/>
      <w:sz w:val="28"/>
      <w:szCs w:val="28"/>
      <w:lang w:val="en-US" w:eastAsia="zh-CN" w:bidi="ar"/>
    </w:rPr>
  </w:style>
  <w:style w:type="paragraph" w:styleId="5">
    <w:name w:val="Body Text"/>
    <w:basedOn w:val="1"/>
    <w:next w:val="1"/>
    <w:unhideWhenUsed/>
    <w:qFormat/>
    <w:uiPriority w:val="0"/>
    <w:pPr>
      <w:spacing w:after="120"/>
    </w:p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topLinePunct w:val="0"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otnote reference"/>
    <w:basedOn w:val="10"/>
    <w:qFormat/>
    <w:uiPriority w:val="0"/>
    <w:rPr>
      <w:rFonts w:ascii="仿宋_GB2312" w:hAnsi="仿宋"/>
      <w:bCs/>
      <w:color w:val="000000"/>
      <w:szCs w:val="28"/>
      <w:vertAlign w:val="superscript"/>
    </w:rPr>
  </w:style>
  <w:style w:type="paragraph" w:customStyle="1" w:styleId="13">
    <w:name w:val="正文首行缩进 21"/>
    <w:basedOn w:val="14"/>
    <w:qFormat/>
    <w:uiPriority w:val="0"/>
    <w:pPr>
      <w:widowControl/>
      <w:ind w:firstLine="420"/>
    </w:pPr>
    <w:rPr>
      <w:szCs w:val="20"/>
    </w:rPr>
  </w:style>
  <w:style w:type="paragraph" w:customStyle="1" w:styleId="14">
    <w:name w:val="正文文本缩进1"/>
    <w:basedOn w:val="1"/>
    <w:qFormat/>
    <w:uiPriority w:val="0"/>
    <w:pPr>
      <w:spacing w:line="500" w:lineRule="exact"/>
      <w:ind w:firstLine="880"/>
    </w:pPr>
    <w:rPr>
      <w:szCs w:val="22"/>
    </w:rPr>
  </w:style>
  <w:style w:type="paragraph" w:styleId="1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2024-11-22T03:00:00Z</dcterms:created>
  <dc:creator>石瑜</dc:creator>
  <cp:lastModifiedBy>段玉梅</cp:lastModifiedBy>
  <cp:lastPrinted>2024-11-22T23:35:00Z</cp:lastPrinted>
  <dcterms:modified xsi:type="dcterms:W3CDTF">2026-06-12T01:37:40Z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2052-11.8.2.10164</vt:lpwstr>
  </property>
  <property fmtid="{D5CDD505-2E9C-101B-9397-08002B2CF9AE}" pid="3" name="ICV">
    <vt:lpwstr>2AB3EEE64BA1436288943A4B1FD9832F_13</vt:lpwstr>
  </property>
</Properties>
</file>