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A8E26">
      <w:pPr>
        <w:spacing w:line="360" w:lineRule="auto"/>
        <w:jc w:val="center"/>
        <w:rPr>
          <w:rFonts w:hint="eastAsia" w:ascii="宋体" w:hAnsi="宋体" w:eastAsia="宋体" w:cs="宋体"/>
          <w:b/>
          <w:bCs/>
          <w:sz w:val="44"/>
          <w:szCs w:val="44"/>
          <w:lang w:eastAsia="zh-CN"/>
        </w:rPr>
      </w:pPr>
      <w:bookmarkStart w:id="562" w:name="_GoBack"/>
      <w:bookmarkEnd w:id="562"/>
      <w:r>
        <w:rPr>
          <w:rFonts w:hint="eastAsia" w:ascii="宋体" w:hAnsi="宋体" w:eastAsia="宋体" w:cs="宋体"/>
          <w:b/>
          <w:bCs/>
          <w:sz w:val="44"/>
          <w:szCs w:val="44"/>
          <w:lang w:eastAsia="zh-CN"/>
        </w:rPr>
        <w:t>云南解化清洁能源开发有限公司解化化工分公司2026-2027年二甲醚厂煤气化辅助岗位等劳务外包项目</w:t>
      </w:r>
    </w:p>
    <w:p w14:paraId="65CDD789">
      <w:pPr>
        <w:pStyle w:val="2"/>
        <w:jc w:val="center"/>
        <w:rPr>
          <w:rFonts w:hint="eastAsia" w:ascii="仿宋" w:hAnsi="仿宋" w:eastAsia="仿宋" w:cs="仿宋"/>
          <w:lang w:val="en-US" w:eastAsia="zh-CN"/>
        </w:rPr>
      </w:pPr>
    </w:p>
    <w:p w14:paraId="237B3F89">
      <w:pPr>
        <w:spacing w:line="360" w:lineRule="auto"/>
        <w:jc w:val="center"/>
        <w:rPr>
          <w:rFonts w:hint="eastAsia" w:ascii="宋体" w:hAnsi="宋体" w:cs="宋体"/>
          <w:b/>
          <w:bCs/>
          <w:sz w:val="52"/>
          <w:szCs w:val="52"/>
        </w:rPr>
      </w:pPr>
    </w:p>
    <w:p w14:paraId="74A84B93">
      <w:pPr>
        <w:spacing w:line="360" w:lineRule="auto"/>
        <w:jc w:val="center"/>
        <w:rPr>
          <w:rFonts w:hint="eastAsia" w:ascii="宋体" w:hAnsi="宋体" w:cs="宋体"/>
          <w:b/>
          <w:bCs/>
          <w:sz w:val="28"/>
          <w:szCs w:val="28"/>
        </w:rPr>
      </w:pPr>
    </w:p>
    <w:p w14:paraId="1B494732">
      <w:pPr>
        <w:spacing w:line="360" w:lineRule="auto"/>
        <w:jc w:val="center"/>
        <w:rPr>
          <w:rFonts w:hint="eastAsia" w:ascii="宋体" w:hAnsi="宋体" w:cs="宋体"/>
          <w:b/>
          <w:bCs/>
          <w:sz w:val="28"/>
          <w:szCs w:val="28"/>
        </w:rPr>
      </w:pPr>
    </w:p>
    <w:p w14:paraId="33481B54">
      <w:pPr>
        <w:spacing w:line="360" w:lineRule="auto"/>
        <w:jc w:val="center"/>
        <w:rPr>
          <w:rFonts w:hint="eastAsia" w:ascii="宋体" w:hAnsi="宋体" w:cs="宋体"/>
          <w:b/>
          <w:bCs/>
          <w:sz w:val="28"/>
          <w:szCs w:val="28"/>
        </w:rPr>
      </w:pPr>
    </w:p>
    <w:p w14:paraId="46DC55ED">
      <w:pPr>
        <w:pStyle w:val="24"/>
        <w:spacing w:line="360" w:lineRule="auto"/>
        <w:jc w:val="center"/>
        <w:rPr>
          <w:rFonts w:hint="eastAsia" w:hAnsi="宋体" w:cs="宋体"/>
          <w:b/>
          <w:bCs/>
          <w:sz w:val="52"/>
          <w:szCs w:val="52"/>
        </w:rPr>
      </w:pPr>
      <w:r>
        <w:rPr>
          <w:rFonts w:hint="eastAsia" w:hAnsi="宋体" w:cs="宋体"/>
          <w:b/>
          <w:bCs/>
          <w:sz w:val="52"/>
          <w:szCs w:val="52"/>
        </w:rPr>
        <w:t xml:space="preserve"> 竞 争 性 谈 判 文 件</w:t>
      </w:r>
    </w:p>
    <w:p w14:paraId="6F699147">
      <w:pPr>
        <w:pStyle w:val="24"/>
        <w:spacing w:line="360" w:lineRule="auto"/>
        <w:jc w:val="center"/>
        <w:rPr>
          <w:rFonts w:hint="eastAsia" w:hAnsi="宋体" w:eastAsia="宋体" w:cs="宋体"/>
          <w:b/>
          <w:bCs/>
          <w:sz w:val="32"/>
          <w:szCs w:val="32"/>
          <w:lang w:val="en-US" w:eastAsia="zh-CN"/>
        </w:rPr>
      </w:pPr>
    </w:p>
    <w:p w14:paraId="6AA03394">
      <w:pPr>
        <w:pStyle w:val="24"/>
        <w:spacing w:line="360" w:lineRule="auto"/>
        <w:jc w:val="center"/>
        <w:rPr>
          <w:rFonts w:hint="eastAsia" w:hAnsi="宋体" w:eastAsia="宋体" w:cs="宋体"/>
          <w:b/>
          <w:bCs/>
          <w:sz w:val="32"/>
          <w:szCs w:val="32"/>
          <w:lang w:val="en-US" w:eastAsia="zh-CN"/>
        </w:rPr>
      </w:pPr>
    </w:p>
    <w:p w14:paraId="564B638B">
      <w:pPr>
        <w:pStyle w:val="24"/>
        <w:spacing w:line="360" w:lineRule="auto"/>
        <w:jc w:val="center"/>
        <w:rPr>
          <w:rFonts w:hint="default" w:ascii="宋体" w:hAnsi="宋体" w:eastAsia="宋体" w:cs="宋体"/>
          <w:b/>
          <w:bCs/>
          <w:sz w:val="32"/>
          <w:szCs w:val="32"/>
          <w:lang w:val="en-US" w:eastAsia="zh-CN"/>
        </w:rPr>
      </w:pPr>
      <w:r>
        <w:rPr>
          <w:rFonts w:hint="eastAsia" w:hAnsi="宋体" w:eastAsia="宋体" w:cs="宋体"/>
          <w:b/>
          <w:bCs/>
          <w:sz w:val="32"/>
          <w:szCs w:val="32"/>
          <w:lang w:val="en-US" w:eastAsia="zh-CN"/>
        </w:rPr>
        <w:t>项</w:t>
      </w:r>
      <w:r>
        <w:rPr>
          <w:rFonts w:hint="eastAsia" w:ascii="宋体" w:hAnsi="宋体" w:eastAsia="宋体" w:cs="宋体"/>
          <w:b/>
          <w:bCs/>
          <w:sz w:val="32"/>
          <w:szCs w:val="32"/>
          <w:lang w:val="en-US" w:eastAsia="zh-CN"/>
        </w:rPr>
        <w:t xml:space="preserve">目编号： / </w:t>
      </w:r>
    </w:p>
    <w:p w14:paraId="67B6A7CE">
      <w:pPr>
        <w:pStyle w:val="24"/>
        <w:spacing w:line="360" w:lineRule="auto"/>
        <w:rPr>
          <w:rFonts w:hint="eastAsia" w:hAnsi="宋体" w:cs="宋体"/>
        </w:rPr>
      </w:pPr>
    </w:p>
    <w:p w14:paraId="1D9BF04B">
      <w:pPr>
        <w:rPr>
          <w:rFonts w:hint="eastAsia" w:ascii="宋体" w:hAnsi="宋体" w:cs="宋体"/>
        </w:rPr>
      </w:pPr>
    </w:p>
    <w:p w14:paraId="4955EA16">
      <w:pPr>
        <w:pStyle w:val="19"/>
        <w:rPr>
          <w:rFonts w:hint="eastAsia" w:hAnsi="宋体" w:cs="宋体"/>
          <w:color w:val="auto"/>
        </w:rPr>
      </w:pPr>
    </w:p>
    <w:p w14:paraId="0CBC6D3D">
      <w:pPr>
        <w:rPr>
          <w:rFonts w:hint="eastAsia" w:ascii="宋体" w:hAnsi="宋体" w:cs="宋体"/>
        </w:rPr>
      </w:pPr>
    </w:p>
    <w:p w14:paraId="5A1AE146">
      <w:pPr>
        <w:rPr>
          <w:rFonts w:hint="eastAsia" w:ascii="宋体" w:hAnsi="宋体" w:cs="宋体"/>
        </w:rPr>
      </w:pPr>
    </w:p>
    <w:p w14:paraId="42094A71">
      <w:pPr>
        <w:rPr>
          <w:rFonts w:hint="eastAsia" w:ascii="宋体" w:hAnsi="宋体" w:cs="宋体"/>
        </w:rPr>
      </w:pPr>
    </w:p>
    <w:p w14:paraId="461E40A3">
      <w:pPr>
        <w:rPr>
          <w:rFonts w:hint="eastAsia" w:ascii="宋体" w:hAnsi="宋体" w:cs="宋体"/>
        </w:rPr>
      </w:pPr>
    </w:p>
    <w:p w14:paraId="23C2BC4B">
      <w:pPr>
        <w:rPr>
          <w:rFonts w:hint="eastAsia" w:ascii="宋体" w:hAnsi="宋体" w:cs="宋体"/>
        </w:rPr>
      </w:pPr>
    </w:p>
    <w:p w14:paraId="00512ACF">
      <w:pPr>
        <w:rPr>
          <w:rFonts w:hint="eastAsia" w:ascii="宋体" w:hAnsi="宋体" w:cs="宋体"/>
        </w:rPr>
      </w:pPr>
    </w:p>
    <w:p w14:paraId="43D74ED4">
      <w:pPr>
        <w:rPr>
          <w:rFonts w:hint="eastAsia" w:ascii="宋体" w:hAnsi="宋体" w:cs="宋体"/>
        </w:rPr>
      </w:pPr>
    </w:p>
    <w:p w14:paraId="0A285A4F">
      <w:pPr>
        <w:rPr>
          <w:rFonts w:hint="eastAsia" w:ascii="宋体" w:hAnsi="宋体" w:cs="宋体"/>
        </w:rPr>
      </w:pPr>
    </w:p>
    <w:p w14:paraId="0D00F6E3">
      <w:pPr>
        <w:pStyle w:val="24"/>
        <w:spacing w:line="360" w:lineRule="auto"/>
        <w:jc w:val="center"/>
        <w:rPr>
          <w:rFonts w:hint="eastAsia" w:hAnsi="宋体" w:cs="宋体"/>
          <w:b/>
          <w:bCs/>
          <w:sz w:val="32"/>
          <w:szCs w:val="32"/>
        </w:rPr>
      </w:pPr>
      <w:r>
        <w:rPr>
          <w:rFonts w:hint="eastAsia" w:hAnsi="宋体" w:cs="宋体"/>
          <w:b/>
          <w:bCs/>
          <w:sz w:val="32"/>
          <w:szCs w:val="32"/>
        </w:rPr>
        <w:t>采购人：</w:t>
      </w:r>
      <w:r>
        <w:rPr>
          <w:rFonts w:hint="eastAsia" w:hAnsi="宋体" w:cs="宋体"/>
          <w:b/>
          <w:bCs/>
          <w:w w:val="70"/>
          <w:sz w:val="32"/>
          <w:szCs w:val="32"/>
          <w:lang w:val="en-US" w:eastAsia="zh-CN"/>
        </w:rPr>
        <w:t>云南解化清洁能源开发有限公司解化化工分公司</w:t>
      </w:r>
    </w:p>
    <w:p w14:paraId="2C679B59">
      <w:pPr>
        <w:pStyle w:val="24"/>
        <w:spacing w:line="360" w:lineRule="auto"/>
        <w:jc w:val="center"/>
        <w:rPr>
          <w:rFonts w:hint="eastAsia" w:hAnsi="宋体" w:cs="宋体"/>
          <w:b/>
          <w:bCs/>
          <w:sz w:val="32"/>
          <w:szCs w:val="32"/>
        </w:rPr>
      </w:pPr>
      <w:r>
        <w:rPr>
          <w:rFonts w:hint="eastAsia" w:hAnsi="宋体" w:cs="宋体"/>
          <w:b/>
          <w:bCs/>
          <w:sz w:val="32"/>
          <w:szCs w:val="32"/>
          <w:lang w:val="en-US" w:eastAsia="zh-CN"/>
        </w:rPr>
        <w:t>2026</w:t>
      </w:r>
      <w:r>
        <w:rPr>
          <w:rFonts w:hint="eastAsia" w:hAnsi="宋体" w:cs="宋体"/>
          <w:b/>
          <w:bCs/>
          <w:sz w:val="32"/>
          <w:szCs w:val="32"/>
        </w:rPr>
        <w:t>年</w:t>
      </w:r>
      <w:r>
        <w:rPr>
          <w:rFonts w:hint="eastAsia" w:hAnsi="宋体" w:cs="宋体"/>
          <w:b/>
          <w:bCs/>
          <w:sz w:val="32"/>
          <w:szCs w:val="32"/>
          <w:lang w:val="en-US" w:eastAsia="zh-CN"/>
        </w:rPr>
        <w:t>4</w:t>
      </w:r>
      <w:r>
        <w:rPr>
          <w:rFonts w:hint="eastAsia" w:hAnsi="宋体" w:cs="宋体"/>
          <w:b/>
          <w:bCs/>
          <w:sz w:val="32"/>
          <w:szCs w:val="32"/>
        </w:rPr>
        <w:t>月</w:t>
      </w:r>
    </w:p>
    <w:p w14:paraId="54B9D4D7">
      <w:pPr>
        <w:rPr>
          <w:rFonts w:hint="eastAsia" w:ascii="宋体" w:hAnsi="宋体" w:cs="宋体"/>
          <w:b/>
          <w:bCs/>
          <w:sz w:val="36"/>
          <w:szCs w:val="36"/>
        </w:rPr>
      </w:pPr>
    </w:p>
    <w:p w14:paraId="1461E47E">
      <w:pPr>
        <w:rPr>
          <w:rFonts w:hint="eastAsia" w:ascii="宋体" w:hAnsi="宋体" w:cs="宋体"/>
          <w:b/>
          <w:bCs/>
          <w:sz w:val="36"/>
          <w:szCs w:val="36"/>
        </w:rPr>
        <w:sectPr>
          <w:headerReference r:id="rId5" w:type="first"/>
          <w:headerReference r:id="rId3" w:type="default"/>
          <w:footerReference r:id="rId6" w:type="default"/>
          <w:headerReference r:id="rId4" w:type="even"/>
          <w:footerReference r:id="rId7" w:type="even"/>
          <w:pgSz w:w="11906" w:h="16838"/>
          <w:pgMar w:top="1440" w:right="1080" w:bottom="1440" w:left="1080" w:header="510" w:footer="680" w:gutter="0"/>
          <w:cols w:space="720" w:num="1"/>
          <w:titlePg/>
          <w:docGrid w:type="linesAndChars" w:linePitch="312" w:charSpace="0"/>
        </w:sectPr>
      </w:pPr>
    </w:p>
    <w:p w14:paraId="532DD6D3">
      <w:pPr>
        <w:jc w:val="center"/>
        <w:rPr>
          <w:rFonts w:hint="eastAsia" w:ascii="宋体" w:hAnsi="宋体" w:cs="宋体"/>
          <w:b/>
          <w:bCs/>
          <w:sz w:val="36"/>
          <w:szCs w:val="36"/>
        </w:rPr>
      </w:pPr>
      <w:r>
        <w:rPr>
          <w:rFonts w:hint="eastAsia" w:ascii="宋体" w:hAnsi="宋体" w:cs="宋体"/>
          <w:b/>
          <w:bCs/>
          <w:sz w:val="36"/>
          <w:szCs w:val="36"/>
        </w:rPr>
        <w:t>目  录</w:t>
      </w:r>
    </w:p>
    <w:p w14:paraId="5E9AA797">
      <w:pPr>
        <w:pStyle w:val="31"/>
        <w:tabs>
          <w:tab w:val="right" w:leader="dot" w:pos="9746"/>
        </w:tabs>
        <w:spacing w:line="360" w:lineRule="auto"/>
      </w:pPr>
      <w:r>
        <w:rPr>
          <w:rFonts w:hint="eastAsia" w:ascii="宋体" w:hAnsi="宋体" w:cs="宋体"/>
          <w:szCs w:val="21"/>
        </w:rPr>
        <w:fldChar w:fldCharType="begin"/>
      </w:r>
      <w:r>
        <w:rPr>
          <w:rFonts w:hint="eastAsia" w:ascii="宋体" w:hAnsi="宋体" w:cs="宋体"/>
          <w:szCs w:val="21"/>
        </w:rPr>
        <w:instrText xml:space="preserve">TOC \o "1-2" \h \u </w:instrText>
      </w:r>
      <w:r>
        <w:rPr>
          <w:rFonts w:hint="eastAsia" w:ascii="宋体" w:hAnsi="宋体" w:cs="宋体"/>
          <w:szCs w:val="21"/>
        </w:rPr>
        <w:fldChar w:fldCharType="separate"/>
      </w:r>
      <w:r>
        <w:rPr>
          <w:rFonts w:hint="eastAsia" w:ascii="宋体" w:hAnsi="宋体" w:cs="宋体"/>
          <w:szCs w:val="21"/>
        </w:rPr>
        <w:fldChar w:fldCharType="begin"/>
      </w:r>
      <w:r>
        <w:rPr>
          <w:rFonts w:hint="eastAsia" w:ascii="宋体" w:hAnsi="宋体" w:cs="宋体"/>
          <w:szCs w:val="21"/>
        </w:rPr>
        <w:instrText xml:space="preserve"> HYPERLINK \l _Toc977 </w:instrText>
      </w:r>
      <w:r>
        <w:rPr>
          <w:rFonts w:hint="eastAsia" w:ascii="宋体" w:hAnsi="宋体" w:cs="宋体"/>
          <w:szCs w:val="21"/>
        </w:rPr>
        <w:fldChar w:fldCharType="separate"/>
      </w:r>
      <w:r>
        <w:rPr>
          <w:rFonts w:hint="eastAsia" w:ascii="宋体" w:hAnsi="宋体" w:eastAsia="宋体" w:cs="宋体"/>
        </w:rPr>
        <w:t xml:space="preserve">第一章  </w:t>
      </w:r>
      <w:r>
        <w:rPr>
          <w:rFonts w:hint="eastAsia" w:ascii="宋体" w:hAnsi="宋体" w:eastAsia="宋体" w:cs="宋体"/>
          <w:lang w:val="en-US" w:eastAsia="zh-CN"/>
        </w:rPr>
        <w:t>竞争性谈判公告</w:t>
      </w:r>
      <w:r>
        <w:tab/>
      </w:r>
      <w:r>
        <w:fldChar w:fldCharType="begin"/>
      </w:r>
      <w:r>
        <w:instrText xml:space="preserve"> PAGEREF _Toc977 \h </w:instrText>
      </w:r>
      <w:r>
        <w:fldChar w:fldCharType="separate"/>
      </w:r>
      <w:r>
        <w:t>1</w:t>
      </w:r>
      <w:r>
        <w:fldChar w:fldCharType="end"/>
      </w:r>
      <w:r>
        <w:rPr>
          <w:rFonts w:hint="eastAsia" w:ascii="宋体" w:hAnsi="宋体" w:cs="宋体"/>
          <w:szCs w:val="21"/>
        </w:rPr>
        <w:fldChar w:fldCharType="end"/>
      </w:r>
    </w:p>
    <w:p w14:paraId="36A4A668">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_Toc10458 </w:instrText>
      </w:r>
      <w:r>
        <w:rPr>
          <w:rFonts w:hint="eastAsia" w:ascii="宋体" w:hAnsi="宋体" w:eastAsia="宋体" w:cs="宋体"/>
          <w:szCs w:val="21"/>
        </w:rPr>
        <w:fldChar w:fldCharType="separate"/>
      </w:r>
      <w:r>
        <w:rPr>
          <w:rFonts w:hint="eastAsia" w:ascii="宋体" w:hAnsi="宋体" w:cs="宋体"/>
          <w:szCs w:val="24"/>
        </w:rPr>
        <w:t>一、谈判条件</w:t>
      </w:r>
      <w:r>
        <w:tab/>
      </w:r>
      <w:r>
        <w:fldChar w:fldCharType="begin"/>
      </w:r>
      <w:r>
        <w:instrText xml:space="preserve"> PAGEREF _Toc10458 \h </w:instrText>
      </w:r>
      <w:r>
        <w:fldChar w:fldCharType="separate"/>
      </w:r>
      <w:r>
        <w:t>1</w:t>
      </w:r>
      <w:r>
        <w:fldChar w:fldCharType="end"/>
      </w:r>
      <w:r>
        <w:rPr>
          <w:rFonts w:hint="eastAsia" w:ascii="宋体" w:hAnsi="宋体" w:eastAsia="宋体" w:cs="宋体"/>
          <w:color w:val="auto"/>
          <w:szCs w:val="21"/>
        </w:rPr>
        <w:fldChar w:fldCharType="end"/>
      </w:r>
    </w:p>
    <w:p w14:paraId="125FCC42">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_Toc28840 </w:instrText>
      </w:r>
      <w:r>
        <w:rPr>
          <w:rFonts w:hint="eastAsia" w:ascii="宋体" w:hAnsi="宋体" w:eastAsia="宋体" w:cs="宋体"/>
          <w:szCs w:val="21"/>
        </w:rPr>
        <w:fldChar w:fldCharType="separate"/>
      </w:r>
      <w:r>
        <w:rPr>
          <w:rFonts w:hint="eastAsia" w:ascii="宋体" w:hAnsi="宋体" w:cs="宋体"/>
          <w:szCs w:val="24"/>
        </w:rPr>
        <w:t>二、项目概况</w:t>
      </w:r>
      <w:r>
        <w:tab/>
      </w:r>
      <w:r>
        <w:fldChar w:fldCharType="begin"/>
      </w:r>
      <w:r>
        <w:instrText xml:space="preserve"> PAGEREF _Toc28840 \h </w:instrText>
      </w:r>
      <w:r>
        <w:fldChar w:fldCharType="separate"/>
      </w:r>
      <w:r>
        <w:t>1</w:t>
      </w:r>
      <w:r>
        <w:fldChar w:fldCharType="end"/>
      </w:r>
      <w:r>
        <w:rPr>
          <w:rFonts w:hint="eastAsia" w:ascii="宋体" w:hAnsi="宋体" w:eastAsia="宋体" w:cs="宋体"/>
          <w:color w:val="auto"/>
          <w:szCs w:val="21"/>
        </w:rPr>
        <w:fldChar w:fldCharType="end"/>
      </w:r>
    </w:p>
    <w:p w14:paraId="1CFC5297">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_Toc31347 </w:instrText>
      </w:r>
      <w:r>
        <w:rPr>
          <w:rFonts w:hint="eastAsia" w:ascii="宋体" w:hAnsi="宋体" w:eastAsia="宋体" w:cs="宋体"/>
          <w:szCs w:val="21"/>
        </w:rPr>
        <w:fldChar w:fldCharType="separate"/>
      </w:r>
      <w:r>
        <w:rPr>
          <w:rFonts w:hint="eastAsia" w:ascii="宋体" w:hAnsi="宋体" w:cs="宋体"/>
          <w:szCs w:val="24"/>
        </w:rPr>
        <w:t>三、供应商资格要求</w:t>
      </w:r>
      <w:r>
        <w:tab/>
      </w:r>
      <w:r>
        <w:fldChar w:fldCharType="begin"/>
      </w:r>
      <w:r>
        <w:instrText xml:space="preserve"> PAGEREF _Toc31347 \h </w:instrText>
      </w:r>
      <w:r>
        <w:fldChar w:fldCharType="separate"/>
      </w:r>
      <w:r>
        <w:t>2</w:t>
      </w:r>
      <w:r>
        <w:fldChar w:fldCharType="end"/>
      </w:r>
      <w:r>
        <w:rPr>
          <w:rFonts w:hint="eastAsia" w:ascii="宋体" w:hAnsi="宋体" w:eastAsia="宋体" w:cs="宋体"/>
          <w:color w:val="auto"/>
          <w:szCs w:val="21"/>
        </w:rPr>
        <w:fldChar w:fldCharType="end"/>
      </w:r>
    </w:p>
    <w:p w14:paraId="60BBCD54">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_Toc26529 </w:instrText>
      </w:r>
      <w:r>
        <w:rPr>
          <w:rFonts w:hint="eastAsia" w:ascii="宋体" w:hAnsi="宋体" w:eastAsia="宋体" w:cs="宋体"/>
          <w:szCs w:val="21"/>
        </w:rPr>
        <w:fldChar w:fldCharType="separate"/>
      </w:r>
      <w:r>
        <w:rPr>
          <w:rFonts w:hint="eastAsia" w:ascii="宋体" w:hAnsi="宋体" w:cs="宋体"/>
          <w:szCs w:val="24"/>
        </w:rPr>
        <w:t>四、竞争性谈判文件的获取</w:t>
      </w:r>
      <w:r>
        <w:tab/>
      </w:r>
      <w:r>
        <w:fldChar w:fldCharType="begin"/>
      </w:r>
      <w:r>
        <w:instrText xml:space="preserve"> PAGEREF _Toc26529 \h </w:instrText>
      </w:r>
      <w:r>
        <w:fldChar w:fldCharType="separate"/>
      </w:r>
      <w:r>
        <w:t>3</w:t>
      </w:r>
      <w:r>
        <w:fldChar w:fldCharType="end"/>
      </w:r>
      <w:r>
        <w:rPr>
          <w:rFonts w:hint="eastAsia" w:ascii="宋体" w:hAnsi="宋体" w:eastAsia="宋体" w:cs="宋体"/>
          <w:color w:val="auto"/>
          <w:szCs w:val="21"/>
        </w:rPr>
        <w:fldChar w:fldCharType="end"/>
      </w:r>
    </w:p>
    <w:p w14:paraId="6234A101">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_Toc13786 </w:instrText>
      </w:r>
      <w:r>
        <w:rPr>
          <w:rFonts w:hint="eastAsia" w:ascii="宋体" w:hAnsi="宋体" w:eastAsia="宋体" w:cs="宋体"/>
          <w:szCs w:val="21"/>
        </w:rPr>
        <w:fldChar w:fldCharType="separate"/>
      </w:r>
      <w:r>
        <w:rPr>
          <w:rFonts w:hint="eastAsia" w:ascii="宋体" w:hAnsi="宋体" w:cs="宋体"/>
          <w:szCs w:val="24"/>
        </w:rPr>
        <w:t>五、响应文件的递交</w:t>
      </w:r>
      <w:r>
        <w:tab/>
      </w:r>
      <w:r>
        <w:fldChar w:fldCharType="begin"/>
      </w:r>
      <w:r>
        <w:instrText xml:space="preserve"> PAGEREF _Toc13786 \h </w:instrText>
      </w:r>
      <w:r>
        <w:fldChar w:fldCharType="separate"/>
      </w:r>
      <w:r>
        <w:t>3</w:t>
      </w:r>
      <w:r>
        <w:fldChar w:fldCharType="end"/>
      </w:r>
      <w:r>
        <w:rPr>
          <w:rFonts w:hint="eastAsia" w:ascii="宋体" w:hAnsi="宋体" w:eastAsia="宋体" w:cs="宋体"/>
          <w:color w:val="auto"/>
          <w:szCs w:val="21"/>
        </w:rPr>
        <w:fldChar w:fldCharType="end"/>
      </w:r>
    </w:p>
    <w:p w14:paraId="6EFCCEF6">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_Toc10643 </w:instrText>
      </w:r>
      <w:r>
        <w:rPr>
          <w:rFonts w:hint="eastAsia" w:ascii="宋体" w:hAnsi="宋体" w:eastAsia="宋体" w:cs="宋体"/>
          <w:szCs w:val="21"/>
        </w:rPr>
        <w:fldChar w:fldCharType="separate"/>
      </w:r>
      <w:r>
        <w:rPr>
          <w:rFonts w:hint="eastAsia" w:ascii="宋体" w:hAnsi="宋体" w:cs="宋体"/>
          <w:bCs w:val="0"/>
          <w:szCs w:val="24"/>
        </w:rPr>
        <w:t>六、联系</w:t>
      </w:r>
      <w:r>
        <w:rPr>
          <w:rFonts w:hint="eastAsia" w:ascii="宋体" w:hAnsi="宋体" w:cs="宋体"/>
          <w:bCs w:val="0"/>
          <w:szCs w:val="24"/>
          <w:lang w:val="en-US" w:eastAsia="zh-CN"/>
        </w:rPr>
        <w:t>方式</w:t>
      </w:r>
      <w:r>
        <w:tab/>
      </w:r>
      <w:r>
        <w:fldChar w:fldCharType="begin"/>
      </w:r>
      <w:r>
        <w:instrText xml:space="preserve"> PAGEREF _Toc10643 \h </w:instrText>
      </w:r>
      <w:r>
        <w:fldChar w:fldCharType="separate"/>
      </w:r>
      <w:r>
        <w:t>3</w:t>
      </w:r>
      <w:r>
        <w:fldChar w:fldCharType="end"/>
      </w:r>
      <w:r>
        <w:rPr>
          <w:rFonts w:hint="eastAsia" w:ascii="宋体" w:hAnsi="宋体" w:eastAsia="宋体" w:cs="宋体"/>
          <w:color w:val="auto"/>
          <w:szCs w:val="21"/>
        </w:rPr>
        <w:fldChar w:fldCharType="end"/>
      </w:r>
    </w:p>
    <w:p w14:paraId="03BB7F92">
      <w:pPr>
        <w:pStyle w:val="31"/>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_Toc5166 </w:instrText>
      </w:r>
      <w:r>
        <w:rPr>
          <w:rFonts w:hint="eastAsia" w:ascii="宋体" w:hAnsi="宋体" w:eastAsia="宋体" w:cs="宋体"/>
          <w:szCs w:val="21"/>
        </w:rPr>
        <w:fldChar w:fldCharType="separate"/>
      </w:r>
      <w:r>
        <w:rPr>
          <w:rFonts w:hint="eastAsia" w:hAnsi="宋体" w:cs="宋体"/>
          <w:iCs w:val="0"/>
          <w:kern w:val="2"/>
          <w:szCs w:val="28"/>
        </w:rPr>
        <w:t>第二章  供应商须知</w:t>
      </w:r>
      <w:r>
        <w:tab/>
      </w:r>
      <w:r>
        <w:fldChar w:fldCharType="begin"/>
      </w:r>
      <w:r>
        <w:instrText xml:space="preserve"> PAGEREF _Toc5166 \h </w:instrText>
      </w:r>
      <w:r>
        <w:fldChar w:fldCharType="separate"/>
      </w:r>
      <w:r>
        <w:t>6</w:t>
      </w:r>
      <w:r>
        <w:fldChar w:fldCharType="end"/>
      </w:r>
      <w:r>
        <w:rPr>
          <w:rFonts w:hint="eastAsia" w:ascii="宋体" w:hAnsi="宋体" w:eastAsia="宋体" w:cs="宋体"/>
          <w:color w:val="auto"/>
          <w:szCs w:val="21"/>
        </w:rPr>
        <w:fldChar w:fldCharType="end"/>
      </w:r>
    </w:p>
    <w:p w14:paraId="6801A88A">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_Toc8251 </w:instrText>
      </w:r>
      <w:r>
        <w:rPr>
          <w:rFonts w:hint="eastAsia" w:ascii="宋体" w:hAnsi="宋体" w:eastAsia="宋体" w:cs="宋体"/>
          <w:szCs w:val="21"/>
        </w:rPr>
        <w:fldChar w:fldCharType="separate"/>
      </w:r>
      <w:r>
        <w:rPr>
          <w:rFonts w:hint="eastAsia" w:ascii="宋体" w:hAnsi="宋体" w:cs="宋体"/>
          <w:szCs w:val="28"/>
        </w:rPr>
        <w:t>供应商须知前附表</w:t>
      </w:r>
      <w:r>
        <w:tab/>
      </w:r>
      <w:r>
        <w:fldChar w:fldCharType="begin"/>
      </w:r>
      <w:r>
        <w:instrText xml:space="preserve"> PAGEREF _Toc8251 \h </w:instrText>
      </w:r>
      <w:r>
        <w:fldChar w:fldCharType="separate"/>
      </w:r>
      <w:r>
        <w:t>6</w:t>
      </w:r>
      <w:r>
        <w:fldChar w:fldCharType="end"/>
      </w:r>
      <w:r>
        <w:rPr>
          <w:rFonts w:hint="eastAsia" w:ascii="宋体" w:hAnsi="宋体" w:eastAsia="宋体" w:cs="宋体"/>
          <w:color w:val="auto"/>
          <w:szCs w:val="21"/>
        </w:rPr>
        <w:fldChar w:fldCharType="end"/>
      </w:r>
    </w:p>
    <w:p w14:paraId="0DA65DDB">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_Toc229 </w:instrText>
      </w:r>
      <w:r>
        <w:rPr>
          <w:rFonts w:hint="eastAsia" w:ascii="宋体" w:hAnsi="宋体" w:eastAsia="宋体" w:cs="宋体"/>
          <w:szCs w:val="21"/>
        </w:rPr>
        <w:fldChar w:fldCharType="separate"/>
      </w:r>
      <w:r>
        <w:rPr>
          <w:rFonts w:hint="eastAsia" w:ascii="宋体" w:hAnsi="宋体" w:cs="宋体"/>
          <w:szCs w:val="28"/>
        </w:rPr>
        <w:t>一、总  则</w:t>
      </w:r>
      <w:r>
        <w:tab/>
      </w:r>
      <w:r>
        <w:fldChar w:fldCharType="begin"/>
      </w:r>
      <w:r>
        <w:instrText xml:space="preserve"> PAGEREF _Toc229 \h </w:instrText>
      </w:r>
      <w:r>
        <w:fldChar w:fldCharType="separate"/>
      </w:r>
      <w:r>
        <w:t>8</w:t>
      </w:r>
      <w:r>
        <w:fldChar w:fldCharType="end"/>
      </w:r>
      <w:r>
        <w:rPr>
          <w:rFonts w:hint="eastAsia" w:ascii="宋体" w:hAnsi="宋体" w:eastAsia="宋体" w:cs="宋体"/>
          <w:color w:val="auto"/>
          <w:szCs w:val="21"/>
        </w:rPr>
        <w:fldChar w:fldCharType="end"/>
      </w:r>
    </w:p>
    <w:p w14:paraId="49AE5078">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_Toc22306 </w:instrText>
      </w:r>
      <w:r>
        <w:rPr>
          <w:rFonts w:hint="eastAsia" w:ascii="宋体" w:hAnsi="宋体" w:eastAsia="宋体" w:cs="宋体"/>
          <w:szCs w:val="21"/>
        </w:rPr>
        <w:fldChar w:fldCharType="separate"/>
      </w:r>
      <w:r>
        <w:rPr>
          <w:rFonts w:hint="eastAsia" w:ascii="宋体" w:hAnsi="宋体" w:cs="宋体"/>
          <w:szCs w:val="28"/>
        </w:rPr>
        <w:t>二、谈判文件</w:t>
      </w:r>
      <w:r>
        <w:tab/>
      </w:r>
      <w:r>
        <w:fldChar w:fldCharType="begin"/>
      </w:r>
      <w:r>
        <w:instrText xml:space="preserve"> PAGEREF _Toc22306 \h </w:instrText>
      </w:r>
      <w:r>
        <w:fldChar w:fldCharType="separate"/>
      </w:r>
      <w:r>
        <w:t>8</w:t>
      </w:r>
      <w:r>
        <w:fldChar w:fldCharType="end"/>
      </w:r>
      <w:r>
        <w:rPr>
          <w:rFonts w:hint="eastAsia" w:ascii="宋体" w:hAnsi="宋体" w:eastAsia="宋体" w:cs="宋体"/>
          <w:color w:val="auto"/>
          <w:szCs w:val="21"/>
        </w:rPr>
        <w:fldChar w:fldCharType="end"/>
      </w:r>
    </w:p>
    <w:p w14:paraId="69983239">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_Toc6062 </w:instrText>
      </w:r>
      <w:r>
        <w:rPr>
          <w:rFonts w:hint="eastAsia" w:ascii="宋体" w:hAnsi="宋体" w:eastAsia="宋体" w:cs="宋体"/>
          <w:szCs w:val="21"/>
        </w:rPr>
        <w:fldChar w:fldCharType="separate"/>
      </w:r>
      <w:r>
        <w:rPr>
          <w:rFonts w:hint="eastAsia" w:ascii="宋体" w:hAnsi="宋体" w:cs="宋体"/>
          <w:szCs w:val="28"/>
        </w:rPr>
        <w:t>三、响应文件</w:t>
      </w:r>
      <w:r>
        <w:tab/>
      </w:r>
      <w:r>
        <w:fldChar w:fldCharType="begin"/>
      </w:r>
      <w:r>
        <w:instrText xml:space="preserve"> PAGEREF _Toc6062 \h </w:instrText>
      </w:r>
      <w:r>
        <w:fldChar w:fldCharType="separate"/>
      </w:r>
      <w:r>
        <w:t>9</w:t>
      </w:r>
      <w:r>
        <w:fldChar w:fldCharType="end"/>
      </w:r>
      <w:r>
        <w:rPr>
          <w:rFonts w:hint="eastAsia" w:ascii="宋体" w:hAnsi="宋体" w:eastAsia="宋体" w:cs="宋体"/>
          <w:color w:val="auto"/>
          <w:szCs w:val="21"/>
        </w:rPr>
        <w:fldChar w:fldCharType="end"/>
      </w:r>
    </w:p>
    <w:p w14:paraId="112E7B1C">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_Toc18550 </w:instrText>
      </w:r>
      <w:r>
        <w:rPr>
          <w:rFonts w:hint="eastAsia" w:ascii="宋体" w:hAnsi="宋体" w:eastAsia="宋体" w:cs="宋体"/>
          <w:szCs w:val="21"/>
        </w:rPr>
        <w:fldChar w:fldCharType="separate"/>
      </w:r>
      <w:r>
        <w:rPr>
          <w:rFonts w:hint="eastAsia" w:ascii="宋体" w:hAnsi="宋体" w:cs="宋体"/>
          <w:szCs w:val="28"/>
        </w:rPr>
        <w:t>四、响应文件的提交</w:t>
      </w:r>
      <w:r>
        <w:tab/>
      </w:r>
      <w:r>
        <w:fldChar w:fldCharType="begin"/>
      </w:r>
      <w:r>
        <w:instrText xml:space="preserve"> PAGEREF _Toc18550 \h </w:instrText>
      </w:r>
      <w:r>
        <w:fldChar w:fldCharType="separate"/>
      </w:r>
      <w:r>
        <w:t>10</w:t>
      </w:r>
      <w:r>
        <w:fldChar w:fldCharType="end"/>
      </w:r>
      <w:r>
        <w:rPr>
          <w:rFonts w:hint="eastAsia" w:ascii="宋体" w:hAnsi="宋体" w:eastAsia="宋体" w:cs="宋体"/>
          <w:color w:val="auto"/>
          <w:szCs w:val="21"/>
        </w:rPr>
        <w:fldChar w:fldCharType="end"/>
      </w:r>
    </w:p>
    <w:p w14:paraId="51576363">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_Toc27210 </w:instrText>
      </w:r>
      <w:r>
        <w:rPr>
          <w:rFonts w:hint="eastAsia" w:ascii="宋体" w:hAnsi="宋体" w:eastAsia="宋体" w:cs="宋体"/>
          <w:szCs w:val="21"/>
        </w:rPr>
        <w:fldChar w:fldCharType="separate"/>
      </w:r>
      <w:r>
        <w:rPr>
          <w:rFonts w:hint="eastAsia" w:ascii="宋体" w:hAnsi="宋体" w:cs="宋体"/>
          <w:szCs w:val="28"/>
        </w:rPr>
        <w:t>五、谈判</w:t>
      </w:r>
      <w:r>
        <w:tab/>
      </w:r>
      <w:r>
        <w:fldChar w:fldCharType="begin"/>
      </w:r>
      <w:r>
        <w:instrText xml:space="preserve"> PAGEREF _Toc27210 \h </w:instrText>
      </w:r>
      <w:r>
        <w:fldChar w:fldCharType="separate"/>
      </w:r>
      <w:r>
        <w:t>11</w:t>
      </w:r>
      <w:r>
        <w:fldChar w:fldCharType="end"/>
      </w:r>
      <w:r>
        <w:rPr>
          <w:rFonts w:hint="eastAsia" w:ascii="宋体" w:hAnsi="宋体" w:eastAsia="宋体" w:cs="宋体"/>
          <w:color w:val="auto"/>
          <w:szCs w:val="21"/>
        </w:rPr>
        <w:fldChar w:fldCharType="end"/>
      </w:r>
    </w:p>
    <w:p w14:paraId="48FEA0D5">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_Toc1530 </w:instrText>
      </w:r>
      <w:r>
        <w:rPr>
          <w:rFonts w:hint="eastAsia" w:ascii="宋体" w:hAnsi="宋体" w:eastAsia="宋体" w:cs="宋体"/>
          <w:szCs w:val="21"/>
        </w:rPr>
        <w:fldChar w:fldCharType="separate"/>
      </w:r>
      <w:r>
        <w:rPr>
          <w:rFonts w:hint="eastAsia" w:ascii="宋体" w:hAnsi="宋体" w:cs="宋体"/>
          <w:szCs w:val="28"/>
        </w:rPr>
        <w:t>六、成交结果</w:t>
      </w:r>
      <w:r>
        <w:tab/>
      </w:r>
      <w:r>
        <w:fldChar w:fldCharType="begin"/>
      </w:r>
      <w:r>
        <w:instrText xml:space="preserve"> PAGEREF _Toc1530 \h </w:instrText>
      </w:r>
      <w:r>
        <w:fldChar w:fldCharType="separate"/>
      </w:r>
      <w:r>
        <w:t>12</w:t>
      </w:r>
      <w:r>
        <w:fldChar w:fldCharType="end"/>
      </w:r>
      <w:r>
        <w:rPr>
          <w:rFonts w:hint="eastAsia" w:ascii="宋体" w:hAnsi="宋体" w:eastAsia="宋体" w:cs="宋体"/>
          <w:color w:val="auto"/>
          <w:szCs w:val="21"/>
        </w:rPr>
        <w:fldChar w:fldCharType="end"/>
      </w:r>
    </w:p>
    <w:p w14:paraId="2E9099F3">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_Toc5713 </w:instrText>
      </w:r>
      <w:r>
        <w:rPr>
          <w:rFonts w:hint="eastAsia" w:ascii="宋体" w:hAnsi="宋体" w:eastAsia="宋体" w:cs="宋体"/>
          <w:szCs w:val="21"/>
        </w:rPr>
        <w:fldChar w:fldCharType="separate"/>
      </w:r>
      <w:r>
        <w:rPr>
          <w:rFonts w:hint="eastAsia" w:ascii="宋体" w:hAnsi="宋体" w:cs="宋体"/>
          <w:szCs w:val="28"/>
        </w:rPr>
        <w:t>七、其他事项</w:t>
      </w:r>
      <w:r>
        <w:tab/>
      </w:r>
      <w:r>
        <w:fldChar w:fldCharType="begin"/>
      </w:r>
      <w:r>
        <w:instrText xml:space="preserve"> PAGEREF _Toc5713 \h </w:instrText>
      </w:r>
      <w:r>
        <w:fldChar w:fldCharType="separate"/>
      </w:r>
      <w:r>
        <w:t>12</w:t>
      </w:r>
      <w:r>
        <w:fldChar w:fldCharType="end"/>
      </w:r>
      <w:r>
        <w:rPr>
          <w:rFonts w:hint="eastAsia" w:ascii="宋体" w:hAnsi="宋体" w:eastAsia="宋体" w:cs="宋体"/>
          <w:color w:val="auto"/>
          <w:szCs w:val="21"/>
        </w:rPr>
        <w:fldChar w:fldCharType="end"/>
      </w:r>
    </w:p>
    <w:p w14:paraId="5B35998F">
      <w:pPr>
        <w:pStyle w:val="31"/>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_Toc17986 </w:instrText>
      </w:r>
      <w:r>
        <w:rPr>
          <w:rFonts w:hint="eastAsia" w:ascii="宋体" w:hAnsi="宋体" w:eastAsia="宋体" w:cs="宋体"/>
          <w:szCs w:val="21"/>
        </w:rPr>
        <w:fldChar w:fldCharType="separate"/>
      </w:r>
      <w:r>
        <w:rPr>
          <w:rFonts w:hint="eastAsia" w:ascii="宋体" w:hAnsi="宋体" w:eastAsia="宋体" w:cs="宋体"/>
          <w:szCs w:val="32"/>
        </w:rPr>
        <w:t>第三章  合同书样式及主要条款</w:t>
      </w:r>
      <w:r>
        <w:tab/>
      </w:r>
      <w:r>
        <w:fldChar w:fldCharType="begin"/>
      </w:r>
      <w:r>
        <w:instrText xml:space="preserve"> PAGEREF _Toc17986 \h </w:instrText>
      </w:r>
      <w:r>
        <w:fldChar w:fldCharType="separate"/>
      </w:r>
      <w:r>
        <w:t>13</w:t>
      </w:r>
      <w:r>
        <w:fldChar w:fldCharType="end"/>
      </w:r>
      <w:r>
        <w:rPr>
          <w:rFonts w:hint="eastAsia" w:ascii="宋体" w:hAnsi="宋体" w:eastAsia="宋体" w:cs="宋体"/>
          <w:color w:val="auto"/>
          <w:szCs w:val="21"/>
        </w:rPr>
        <w:fldChar w:fldCharType="end"/>
      </w:r>
    </w:p>
    <w:p w14:paraId="64EB1B21">
      <w:pPr>
        <w:pStyle w:val="31"/>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_Toc12801 </w:instrText>
      </w:r>
      <w:r>
        <w:rPr>
          <w:rFonts w:hint="eastAsia" w:ascii="宋体" w:hAnsi="宋体" w:eastAsia="宋体" w:cs="宋体"/>
          <w:szCs w:val="21"/>
        </w:rPr>
        <w:fldChar w:fldCharType="separate"/>
      </w:r>
      <w:r>
        <w:rPr>
          <w:rFonts w:hint="eastAsia" w:ascii="宋体" w:hAnsi="宋体" w:eastAsia="宋体" w:cs="宋体"/>
          <w:szCs w:val="32"/>
        </w:rPr>
        <w:t>第四章  响应文件格式</w:t>
      </w:r>
      <w:r>
        <w:tab/>
      </w:r>
      <w:r>
        <w:fldChar w:fldCharType="begin"/>
      </w:r>
      <w:r>
        <w:instrText xml:space="preserve"> PAGEREF _Toc12801 \h </w:instrText>
      </w:r>
      <w:r>
        <w:fldChar w:fldCharType="separate"/>
      </w:r>
      <w:r>
        <w:t>23</w:t>
      </w:r>
      <w:r>
        <w:fldChar w:fldCharType="end"/>
      </w:r>
      <w:r>
        <w:rPr>
          <w:rFonts w:hint="eastAsia" w:ascii="宋体" w:hAnsi="宋体" w:eastAsia="宋体" w:cs="宋体"/>
          <w:color w:val="auto"/>
          <w:szCs w:val="21"/>
        </w:rPr>
        <w:fldChar w:fldCharType="end"/>
      </w:r>
    </w:p>
    <w:p w14:paraId="12DC2335">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_Toc24769 </w:instrText>
      </w:r>
      <w:r>
        <w:rPr>
          <w:rFonts w:hint="eastAsia" w:ascii="宋体" w:hAnsi="宋体" w:eastAsia="宋体" w:cs="宋体"/>
          <w:szCs w:val="21"/>
        </w:rPr>
        <w:fldChar w:fldCharType="separate"/>
      </w:r>
      <w:r>
        <w:rPr>
          <w:rFonts w:hint="eastAsia" w:ascii="宋体" w:hAnsi="宋体" w:cs="宋体"/>
          <w:szCs w:val="21"/>
        </w:rPr>
        <w:t>一、报价部分</w:t>
      </w:r>
      <w:r>
        <w:tab/>
      </w:r>
      <w:r>
        <w:fldChar w:fldCharType="begin"/>
      </w:r>
      <w:r>
        <w:instrText xml:space="preserve"> PAGEREF _Toc24769 \h </w:instrText>
      </w:r>
      <w:r>
        <w:fldChar w:fldCharType="separate"/>
      </w:r>
      <w:r>
        <w:t>25</w:t>
      </w:r>
      <w:r>
        <w:fldChar w:fldCharType="end"/>
      </w:r>
      <w:r>
        <w:rPr>
          <w:rFonts w:hint="eastAsia" w:ascii="宋体" w:hAnsi="宋体" w:eastAsia="宋体" w:cs="宋体"/>
          <w:color w:val="auto"/>
          <w:szCs w:val="21"/>
        </w:rPr>
        <w:fldChar w:fldCharType="end"/>
      </w:r>
    </w:p>
    <w:p w14:paraId="0F1CF04E">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_Toc4221 </w:instrText>
      </w:r>
      <w:r>
        <w:rPr>
          <w:rFonts w:hint="eastAsia" w:ascii="宋体" w:hAnsi="宋体" w:eastAsia="宋体" w:cs="宋体"/>
          <w:szCs w:val="21"/>
        </w:rPr>
        <w:fldChar w:fldCharType="separate"/>
      </w:r>
      <w:r>
        <w:rPr>
          <w:rFonts w:hint="eastAsia" w:hAnsi="宋体" w:cs="宋体"/>
          <w:szCs w:val="28"/>
        </w:rPr>
        <w:t>二、 资格部分</w:t>
      </w:r>
      <w:r>
        <w:tab/>
      </w:r>
      <w:r>
        <w:fldChar w:fldCharType="begin"/>
      </w:r>
      <w:r>
        <w:instrText xml:space="preserve"> PAGEREF _Toc4221 \h </w:instrText>
      </w:r>
      <w:r>
        <w:fldChar w:fldCharType="separate"/>
      </w:r>
      <w:r>
        <w:t>28</w:t>
      </w:r>
      <w:r>
        <w:fldChar w:fldCharType="end"/>
      </w:r>
      <w:r>
        <w:rPr>
          <w:rFonts w:hint="eastAsia" w:ascii="宋体" w:hAnsi="宋体" w:eastAsia="宋体" w:cs="宋体"/>
          <w:color w:val="auto"/>
          <w:szCs w:val="21"/>
        </w:rPr>
        <w:fldChar w:fldCharType="end"/>
      </w:r>
    </w:p>
    <w:p w14:paraId="63959FD9">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_Toc22403 </w:instrText>
      </w:r>
      <w:r>
        <w:rPr>
          <w:rFonts w:hint="eastAsia" w:ascii="宋体" w:hAnsi="宋体" w:eastAsia="宋体" w:cs="宋体"/>
          <w:szCs w:val="21"/>
        </w:rPr>
        <w:fldChar w:fldCharType="separate"/>
      </w:r>
      <w:r>
        <w:rPr>
          <w:rFonts w:hint="eastAsia" w:ascii="宋体" w:hAnsi="宋体" w:cs="宋体"/>
          <w:bCs/>
          <w:szCs w:val="28"/>
        </w:rPr>
        <w:t>三、商务部分</w:t>
      </w:r>
      <w:r>
        <w:tab/>
      </w:r>
      <w:r>
        <w:fldChar w:fldCharType="begin"/>
      </w:r>
      <w:r>
        <w:instrText xml:space="preserve"> PAGEREF _Toc22403 \h </w:instrText>
      </w:r>
      <w:r>
        <w:fldChar w:fldCharType="separate"/>
      </w:r>
      <w:r>
        <w:t>39</w:t>
      </w:r>
      <w:r>
        <w:fldChar w:fldCharType="end"/>
      </w:r>
      <w:r>
        <w:rPr>
          <w:rFonts w:hint="eastAsia" w:ascii="宋体" w:hAnsi="宋体" w:eastAsia="宋体" w:cs="宋体"/>
          <w:color w:val="auto"/>
          <w:szCs w:val="21"/>
        </w:rPr>
        <w:fldChar w:fldCharType="end"/>
      </w:r>
    </w:p>
    <w:p w14:paraId="7726DAA9">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_Toc8499 </w:instrText>
      </w:r>
      <w:r>
        <w:rPr>
          <w:rFonts w:hint="eastAsia" w:ascii="宋体" w:hAnsi="宋体" w:eastAsia="宋体" w:cs="宋体"/>
          <w:szCs w:val="21"/>
        </w:rPr>
        <w:fldChar w:fldCharType="separate"/>
      </w:r>
      <w:r>
        <w:rPr>
          <w:rFonts w:hint="eastAsia" w:ascii="宋体" w:hAnsi="宋体" w:cs="宋体"/>
          <w:szCs w:val="28"/>
        </w:rPr>
        <w:t>四、技术部分</w:t>
      </w:r>
      <w:r>
        <w:tab/>
      </w:r>
      <w:r>
        <w:fldChar w:fldCharType="begin"/>
      </w:r>
      <w:r>
        <w:instrText xml:space="preserve"> PAGEREF _Toc8499 \h </w:instrText>
      </w:r>
      <w:r>
        <w:fldChar w:fldCharType="separate"/>
      </w:r>
      <w:r>
        <w:t>42</w:t>
      </w:r>
      <w:r>
        <w:fldChar w:fldCharType="end"/>
      </w:r>
      <w:r>
        <w:rPr>
          <w:rFonts w:hint="eastAsia" w:ascii="宋体" w:hAnsi="宋体" w:eastAsia="宋体" w:cs="宋体"/>
          <w:color w:val="auto"/>
          <w:szCs w:val="21"/>
        </w:rPr>
        <w:fldChar w:fldCharType="end"/>
      </w:r>
    </w:p>
    <w:p w14:paraId="520AD7D2">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_Toc17291 </w:instrText>
      </w:r>
      <w:r>
        <w:rPr>
          <w:rFonts w:hint="eastAsia" w:ascii="宋体" w:hAnsi="宋体" w:eastAsia="宋体" w:cs="宋体"/>
          <w:szCs w:val="21"/>
        </w:rPr>
        <w:fldChar w:fldCharType="separate"/>
      </w:r>
      <w:r>
        <w:rPr>
          <w:rFonts w:hint="eastAsia" w:ascii="宋体" w:hAnsi="宋体" w:cs="宋体"/>
          <w:szCs w:val="28"/>
        </w:rPr>
        <w:t>五、其他资料</w:t>
      </w:r>
      <w:r>
        <w:tab/>
      </w:r>
      <w:r>
        <w:fldChar w:fldCharType="begin"/>
      </w:r>
      <w:r>
        <w:instrText xml:space="preserve"> PAGEREF _Toc17291 \h </w:instrText>
      </w:r>
      <w:r>
        <w:fldChar w:fldCharType="separate"/>
      </w:r>
      <w:r>
        <w:t>45</w:t>
      </w:r>
      <w:r>
        <w:fldChar w:fldCharType="end"/>
      </w:r>
      <w:r>
        <w:rPr>
          <w:rFonts w:hint="eastAsia" w:ascii="宋体" w:hAnsi="宋体" w:eastAsia="宋体" w:cs="宋体"/>
          <w:color w:val="auto"/>
          <w:szCs w:val="21"/>
        </w:rPr>
        <w:fldChar w:fldCharType="end"/>
      </w:r>
    </w:p>
    <w:p w14:paraId="32DAF96B">
      <w:pPr>
        <w:pStyle w:val="31"/>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_Toc2878 </w:instrText>
      </w:r>
      <w:r>
        <w:rPr>
          <w:rFonts w:hint="eastAsia" w:ascii="宋体" w:hAnsi="宋体" w:eastAsia="宋体" w:cs="宋体"/>
          <w:szCs w:val="21"/>
        </w:rPr>
        <w:fldChar w:fldCharType="separate"/>
      </w:r>
      <w:r>
        <w:rPr>
          <w:rFonts w:hint="eastAsia" w:ascii="宋体" w:hAnsi="宋体" w:eastAsia="宋体" w:cs="宋体"/>
          <w:szCs w:val="32"/>
        </w:rPr>
        <w:t xml:space="preserve">第五章  </w:t>
      </w:r>
      <w:r>
        <w:rPr>
          <w:rFonts w:hint="eastAsia" w:ascii="宋体" w:hAnsi="宋体" w:eastAsia="宋体" w:cs="宋体"/>
          <w:szCs w:val="32"/>
          <w:lang w:eastAsia="zh-CN"/>
        </w:rPr>
        <w:t>采购人需求</w:t>
      </w:r>
      <w:r>
        <w:tab/>
      </w:r>
      <w:r>
        <w:fldChar w:fldCharType="begin"/>
      </w:r>
      <w:r>
        <w:instrText xml:space="preserve"> PAGEREF _Toc2878 \h </w:instrText>
      </w:r>
      <w:r>
        <w:fldChar w:fldCharType="separate"/>
      </w:r>
      <w:r>
        <w:t>46</w:t>
      </w:r>
      <w:r>
        <w:fldChar w:fldCharType="end"/>
      </w:r>
      <w:r>
        <w:rPr>
          <w:rFonts w:hint="eastAsia" w:ascii="宋体" w:hAnsi="宋体" w:eastAsia="宋体" w:cs="宋体"/>
          <w:color w:val="auto"/>
          <w:szCs w:val="21"/>
        </w:rPr>
        <w:fldChar w:fldCharType="end"/>
      </w:r>
    </w:p>
    <w:p w14:paraId="2C6E3003">
      <w:pPr>
        <w:pStyle w:val="31"/>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_Toc24864 </w:instrText>
      </w:r>
      <w:r>
        <w:rPr>
          <w:rFonts w:hint="eastAsia" w:ascii="宋体" w:hAnsi="宋体" w:eastAsia="宋体" w:cs="宋体"/>
          <w:szCs w:val="21"/>
        </w:rPr>
        <w:fldChar w:fldCharType="separate"/>
      </w:r>
      <w:r>
        <w:rPr>
          <w:rFonts w:hint="eastAsia" w:ascii="宋体" w:hAnsi="宋体" w:eastAsia="宋体" w:cs="宋体"/>
          <w:szCs w:val="32"/>
        </w:rPr>
        <w:t>第六章  谈判程序和方法</w:t>
      </w:r>
      <w:r>
        <w:tab/>
      </w:r>
      <w:r>
        <w:fldChar w:fldCharType="begin"/>
      </w:r>
      <w:r>
        <w:instrText xml:space="preserve"> PAGEREF _Toc24864 \h </w:instrText>
      </w:r>
      <w:r>
        <w:fldChar w:fldCharType="separate"/>
      </w:r>
      <w:r>
        <w:t>48</w:t>
      </w:r>
      <w:r>
        <w:fldChar w:fldCharType="end"/>
      </w:r>
      <w:r>
        <w:rPr>
          <w:rFonts w:hint="eastAsia" w:ascii="宋体" w:hAnsi="宋体" w:eastAsia="宋体" w:cs="宋体"/>
          <w:color w:val="auto"/>
          <w:szCs w:val="21"/>
        </w:rPr>
        <w:fldChar w:fldCharType="end"/>
      </w:r>
    </w:p>
    <w:p w14:paraId="4CFBBF10">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_Toc27899 </w:instrText>
      </w:r>
      <w:r>
        <w:rPr>
          <w:rFonts w:hint="eastAsia" w:ascii="宋体" w:hAnsi="宋体" w:eastAsia="宋体" w:cs="宋体"/>
          <w:szCs w:val="21"/>
        </w:rPr>
        <w:fldChar w:fldCharType="separate"/>
      </w:r>
      <w:r>
        <w:rPr>
          <w:rFonts w:hint="eastAsia" w:ascii="宋体" w:hAnsi="宋体" w:cs="宋体"/>
          <w:szCs w:val="21"/>
        </w:rPr>
        <w:t>谈判程序前附表</w:t>
      </w:r>
      <w:r>
        <w:tab/>
      </w:r>
      <w:r>
        <w:fldChar w:fldCharType="begin"/>
      </w:r>
      <w:r>
        <w:instrText xml:space="preserve"> PAGEREF _Toc27899 \h </w:instrText>
      </w:r>
      <w:r>
        <w:fldChar w:fldCharType="separate"/>
      </w:r>
      <w:r>
        <w:t>48</w:t>
      </w:r>
      <w:r>
        <w:fldChar w:fldCharType="end"/>
      </w:r>
      <w:r>
        <w:rPr>
          <w:rFonts w:hint="eastAsia" w:ascii="宋体" w:hAnsi="宋体" w:eastAsia="宋体" w:cs="宋体"/>
          <w:color w:val="auto"/>
          <w:szCs w:val="21"/>
        </w:rPr>
        <w:fldChar w:fldCharType="end"/>
      </w:r>
    </w:p>
    <w:p w14:paraId="3A38AB89">
      <w:pPr>
        <w:pStyle w:val="39"/>
        <w:tabs>
          <w:tab w:val="right" w:leader="dot" w:pos="9746"/>
        </w:tabs>
        <w:spacing w:line="360" w:lineRule="auto"/>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_Toc9109 </w:instrText>
      </w:r>
      <w:r>
        <w:rPr>
          <w:rFonts w:hint="eastAsia" w:ascii="宋体" w:hAnsi="宋体" w:eastAsia="宋体" w:cs="宋体"/>
          <w:szCs w:val="21"/>
        </w:rPr>
        <w:fldChar w:fldCharType="separate"/>
      </w:r>
      <w:r>
        <w:rPr>
          <w:rFonts w:hint="eastAsia" w:ascii="宋体" w:hAnsi="宋体" w:cs="宋体"/>
          <w:szCs w:val="21"/>
        </w:rPr>
        <w:t>谈判方法正文</w:t>
      </w:r>
      <w:r>
        <w:tab/>
      </w:r>
      <w:r>
        <w:fldChar w:fldCharType="begin"/>
      </w:r>
      <w:r>
        <w:instrText xml:space="preserve"> PAGEREF _Toc9109 \h </w:instrText>
      </w:r>
      <w:r>
        <w:fldChar w:fldCharType="separate"/>
      </w:r>
      <w:r>
        <w:t>53</w:t>
      </w:r>
      <w:r>
        <w:fldChar w:fldCharType="end"/>
      </w:r>
      <w:r>
        <w:rPr>
          <w:rFonts w:hint="eastAsia" w:ascii="宋体" w:hAnsi="宋体" w:eastAsia="宋体" w:cs="宋体"/>
          <w:color w:val="auto"/>
          <w:szCs w:val="21"/>
        </w:rPr>
        <w:fldChar w:fldCharType="end"/>
      </w:r>
    </w:p>
    <w:p w14:paraId="36884A7B">
      <w:pPr>
        <w:pStyle w:val="2"/>
        <w:spacing w:line="336" w:lineRule="auto"/>
        <w:jc w:val="center"/>
        <w:rPr>
          <w:rFonts w:hint="eastAsia" w:ascii="宋体" w:hAnsi="宋体" w:eastAsia="宋体" w:cs="宋体"/>
          <w:color w:val="auto"/>
          <w:sz w:val="21"/>
          <w:szCs w:val="21"/>
        </w:rPr>
        <w:sectPr>
          <w:footerReference r:id="rId10" w:type="first"/>
          <w:headerReference r:id="rId8" w:type="default"/>
          <w:footerReference r:id="rId9" w:type="default"/>
          <w:pgSz w:w="11906" w:h="16838"/>
          <w:pgMar w:top="1440" w:right="1080" w:bottom="1440" w:left="1080" w:header="340" w:footer="680" w:gutter="0"/>
          <w:pgNumType w:fmt="upperRoman" w:start="1"/>
          <w:cols w:space="720" w:num="1"/>
          <w:docGrid w:type="linesAndChars" w:linePitch="312" w:charSpace="0"/>
        </w:sectPr>
      </w:pPr>
      <w:r>
        <w:rPr>
          <w:rFonts w:hint="eastAsia" w:ascii="宋体" w:hAnsi="宋体" w:eastAsia="宋体" w:cs="宋体"/>
          <w:color w:val="auto"/>
          <w:szCs w:val="21"/>
        </w:rPr>
        <w:fldChar w:fldCharType="end"/>
      </w:r>
    </w:p>
    <w:p w14:paraId="598A4DC4">
      <w:pPr>
        <w:pStyle w:val="2"/>
        <w:spacing w:line="360" w:lineRule="auto"/>
        <w:jc w:val="center"/>
        <w:rPr>
          <w:rFonts w:hint="eastAsia" w:ascii="宋体" w:hAnsi="宋体" w:eastAsia="宋体" w:cs="宋体"/>
          <w:color w:val="auto"/>
          <w:sz w:val="32"/>
        </w:rPr>
      </w:pPr>
      <w:bookmarkStart w:id="0" w:name="_Toc420917814"/>
      <w:bookmarkStart w:id="1" w:name="_Toc8507"/>
      <w:bookmarkStart w:id="2" w:name="_Toc15557"/>
      <w:bookmarkStart w:id="3" w:name="_Toc7844"/>
      <w:bookmarkStart w:id="4" w:name="_Toc16654"/>
      <w:bookmarkStart w:id="5" w:name="_Toc977"/>
      <w:bookmarkStart w:id="6" w:name="_Toc27180"/>
      <w:bookmarkStart w:id="7" w:name="_Toc26193"/>
      <w:bookmarkStart w:id="8" w:name="_Toc21866"/>
      <w:bookmarkStart w:id="9" w:name="_Toc23570"/>
      <w:bookmarkStart w:id="10" w:name="_Toc2845"/>
      <w:bookmarkStart w:id="11" w:name="_Toc7125"/>
      <w:bookmarkStart w:id="12" w:name="_Toc11650"/>
      <w:r>
        <w:rPr>
          <w:rFonts w:hint="eastAsia" w:ascii="宋体" w:hAnsi="宋体" w:eastAsia="宋体" w:cs="宋体"/>
          <w:b/>
          <w:bCs/>
          <w:color w:val="auto"/>
          <w:sz w:val="32"/>
        </w:rPr>
        <w:t xml:space="preserve">第一章  </w:t>
      </w:r>
      <w:bookmarkEnd w:id="0"/>
      <w:bookmarkEnd w:id="1"/>
      <w:bookmarkEnd w:id="2"/>
      <w:bookmarkEnd w:id="3"/>
      <w:bookmarkEnd w:id="4"/>
      <w:bookmarkEnd w:id="5"/>
      <w:bookmarkEnd w:id="6"/>
      <w:bookmarkEnd w:id="7"/>
      <w:bookmarkEnd w:id="8"/>
      <w:bookmarkEnd w:id="9"/>
      <w:bookmarkEnd w:id="10"/>
      <w:bookmarkEnd w:id="11"/>
      <w:bookmarkEnd w:id="12"/>
      <w:r>
        <w:rPr>
          <w:rFonts w:hint="eastAsia" w:ascii="宋体" w:hAnsi="宋体" w:eastAsia="宋体" w:cs="宋体"/>
          <w:b/>
          <w:bCs/>
          <w:color w:val="auto"/>
          <w:sz w:val="32"/>
          <w:lang w:val="en-US" w:eastAsia="zh-CN"/>
        </w:rPr>
        <w:t>竞争性谈判公告</w:t>
      </w:r>
    </w:p>
    <w:p w14:paraId="12BBF7FB">
      <w:pPr>
        <w:spacing w:line="500" w:lineRule="exact"/>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云南解化清洁能源开发有限公司解化化工分公司2026-2027年二甲醚厂煤气化辅助岗位等劳务外包项目竞争性谈判公告</w:t>
      </w:r>
    </w:p>
    <w:p w14:paraId="39D8E450">
      <w:pPr>
        <w:pStyle w:val="3"/>
        <w:spacing w:before="0" w:after="0"/>
        <w:jc w:val="both"/>
        <w:rPr>
          <w:rFonts w:hint="eastAsia" w:ascii="宋体" w:hAnsi="宋体" w:cs="宋体"/>
          <w:sz w:val="24"/>
          <w:szCs w:val="24"/>
        </w:rPr>
      </w:pPr>
      <w:bookmarkStart w:id="13" w:name="_Toc7015"/>
      <w:bookmarkStart w:id="14" w:name="_Toc10836"/>
      <w:bookmarkStart w:id="15" w:name="_Toc10666"/>
      <w:bookmarkStart w:id="16" w:name="_Toc420917820"/>
      <w:bookmarkStart w:id="17" w:name="_Toc3238"/>
      <w:bookmarkStart w:id="18" w:name="_Toc5784"/>
      <w:bookmarkStart w:id="19" w:name="_Toc29540"/>
      <w:bookmarkStart w:id="20" w:name="_Toc20164"/>
      <w:bookmarkStart w:id="21" w:name="_Toc25183"/>
      <w:bookmarkStart w:id="22" w:name="_Toc5166"/>
      <w:bookmarkStart w:id="23" w:name="_Toc8623"/>
      <w:bookmarkStart w:id="24" w:name="_Toc1166"/>
      <w:bookmarkStart w:id="25" w:name="_Toc21150"/>
      <w:r>
        <w:rPr>
          <w:rFonts w:hint="eastAsia" w:ascii="宋体" w:hAnsi="宋体" w:cs="宋体"/>
          <w:sz w:val="24"/>
          <w:szCs w:val="24"/>
        </w:rPr>
        <w:t>一、谈判条件</w:t>
      </w:r>
    </w:p>
    <w:p w14:paraId="0B2B543D">
      <w:pPr>
        <w:spacing w:line="360" w:lineRule="auto"/>
        <w:ind w:firstLine="420" w:firstLineChars="200"/>
        <w:rPr>
          <w:rFonts w:hint="eastAsia" w:ascii="宋体" w:hAnsi="宋体" w:eastAsia="宋体" w:cs="宋体"/>
          <w:b/>
          <w:bCs/>
          <w:sz w:val="24"/>
          <w:szCs w:val="24"/>
          <w:lang w:val="en-US" w:eastAsia="zh-CN"/>
        </w:rPr>
      </w:pPr>
      <w:r>
        <w:rPr>
          <w:rFonts w:hint="eastAsia" w:ascii="宋体" w:hAnsi="宋体" w:eastAsia="宋体" w:cs="宋体"/>
          <w:bCs/>
          <w:szCs w:val="21"/>
        </w:rPr>
        <w:t>参照有关法律、法规和规章的规定，对</w:t>
      </w:r>
      <w:r>
        <w:rPr>
          <w:rFonts w:hint="eastAsia" w:ascii="宋体" w:hAnsi="宋体" w:eastAsia="宋体" w:cs="宋体"/>
          <w:sz w:val="21"/>
          <w:szCs w:val="21"/>
          <w:lang w:eastAsia="zh-CN"/>
        </w:rPr>
        <w:t>云南解化清洁能源开发有限公司解化化工分公司2026-2027年二甲醚厂煤气化辅助岗位等劳务外包项目</w:t>
      </w:r>
      <w:r>
        <w:rPr>
          <w:rFonts w:hint="eastAsia" w:ascii="宋体" w:hAnsi="宋体" w:eastAsia="宋体" w:cs="宋体"/>
          <w:sz w:val="21"/>
          <w:szCs w:val="21"/>
          <w:lang w:val="en-US" w:eastAsia="zh-CN"/>
        </w:rPr>
        <w:t>采用公开</w:t>
      </w:r>
      <w:r>
        <w:rPr>
          <w:rFonts w:hint="eastAsia" w:ascii="宋体" w:hAnsi="宋体" w:eastAsia="宋体" w:cs="宋体"/>
          <w:bCs/>
          <w:szCs w:val="21"/>
        </w:rPr>
        <w:t>竞争性谈判方式</w:t>
      </w:r>
      <w:r>
        <w:rPr>
          <w:rFonts w:hint="eastAsia" w:ascii="宋体" w:hAnsi="宋体" w:eastAsia="宋体" w:cs="宋体"/>
          <w:bCs/>
          <w:szCs w:val="21"/>
          <w:lang w:val="en-US" w:eastAsia="zh-CN"/>
        </w:rPr>
        <w:t>进行</w:t>
      </w:r>
      <w:r>
        <w:rPr>
          <w:rFonts w:hint="eastAsia" w:ascii="宋体" w:hAnsi="宋体" w:eastAsia="宋体" w:cs="宋体"/>
          <w:bCs/>
          <w:szCs w:val="21"/>
        </w:rPr>
        <w:t>采</w:t>
      </w:r>
      <w:r>
        <w:rPr>
          <w:rFonts w:hint="eastAsia" w:ascii="宋体" w:hAnsi="宋体" w:cs="宋体"/>
          <w:bCs/>
          <w:szCs w:val="21"/>
        </w:rPr>
        <w:t>购</w:t>
      </w:r>
      <w:r>
        <w:rPr>
          <w:rFonts w:hint="eastAsia" w:ascii="宋体" w:hAnsi="宋体" w:cs="宋体"/>
        </w:rPr>
        <w:t>。</w:t>
      </w:r>
    </w:p>
    <w:p w14:paraId="303022E3">
      <w:pPr>
        <w:pStyle w:val="3"/>
        <w:spacing w:before="0" w:after="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、项目概况</w:t>
      </w:r>
    </w:p>
    <w:p w14:paraId="217EA132">
      <w:pPr>
        <w:spacing w:line="360" w:lineRule="auto"/>
        <w:ind w:firstLine="420" w:firstLineChars="200"/>
        <w:jc w:val="left"/>
        <w:rPr>
          <w:rFonts w:hint="eastAsia" w:ascii="宋体" w:hAnsi="宋体" w:cs="宋体"/>
          <w:color w:val="auto"/>
          <w:szCs w:val="21"/>
          <w:highlight w:val="none"/>
        </w:rPr>
      </w:pPr>
      <w:bookmarkStart w:id="26" w:name="_Toc86124036"/>
      <w:r>
        <w:rPr>
          <w:rFonts w:hint="eastAsia" w:ascii="宋体" w:hAnsi="宋体" w:cs="宋体"/>
          <w:color w:val="auto"/>
          <w:szCs w:val="21"/>
          <w:highlight w:val="none"/>
        </w:rPr>
        <w:t>2.1项目名称：</w:t>
      </w:r>
      <w:r>
        <w:rPr>
          <w:rFonts w:hint="eastAsia"/>
          <w:color w:val="auto"/>
          <w:highlight w:val="none"/>
          <w:lang w:val="en-US" w:eastAsia="zh-CN"/>
        </w:rPr>
        <w:t>云南解化清洁能源开发有限公司解化化工分公司2026-2027年二甲醚厂煤气化辅助岗位等劳务外包项目</w:t>
      </w:r>
    </w:p>
    <w:p w14:paraId="35230EED">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2.2标段划分：本项目不划分标</w:t>
      </w:r>
      <w:r>
        <w:rPr>
          <w:rFonts w:hint="eastAsia" w:ascii="宋体" w:hAnsi="宋体" w:cs="宋体"/>
          <w:color w:val="auto"/>
          <w:highlight w:val="none"/>
        </w:rPr>
        <w:t>段</w:t>
      </w:r>
    </w:p>
    <w:p w14:paraId="07E17A7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2.3项目编号：</w:t>
      </w:r>
      <w:r>
        <w:rPr>
          <w:rFonts w:hint="eastAsia" w:ascii="宋体" w:hAnsi="宋体" w:cs="宋体"/>
          <w:color w:val="auto"/>
          <w:highlight w:val="none"/>
          <w:lang w:val="en-US" w:eastAsia="zh-CN"/>
        </w:rPr>
        <w:t>/</w:t>
      </w:r>
    </w:p>
    <w:p w14:paraId="3B9F71BA">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highlight w:val="none"/>
        </w:rPr>
        <w:t>2.4项目概括：为贯彻落实公司关于优化人力资源配置、提升运营效率和规范劳务外包管理的相关要求</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拟对</w:t>
      </w:r>
      <w:r>
        <w:rPr>
          <w:rFonts w:hint="eastAsia"/>
          <w:color w:val="auto"/>
          <w:highlight w:val="none"/>
          <w:lang w:val="en-US" w:eastAsia="zh-CN"/>
        </w:rPr>
        <w:t>二甲醚厂煤气化辅助岗位等劳务工作进行外包</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项目</w:t>
      </w:r>
      <w:r>
        <w:rPr>
          <w:rFonts w:hint="eastAsia" w:ascii="宋体" w:hAnsi="宋体" w:cs="宋体"/>
          <w:color w:val="auto"/>
          <w:highlight w:val="none"/>
          <w:lang w:eastAsia="zh-CN"/>
        </w:rPr>
        <w:t>涉及煤气化、煤气水分离辅助岗位等工作，不涉及核心技术或保密内容</w:t>
      </w:r>
      <w:r>
        <w:rPr>
          <w:rFonts w:hint="eastAsia" w:ascii="宋体" w:hAnsi="宋体" w:eastAsia="宋体" w:cs="宋体"/>
          <w:color w:val="auto"/>
          <w:szCs w:val="21"/>
          <w:highlight w:val="none"/>
          <w:lang w:eastAsia="zh-CN"/>
        </w:rPr>
        <w:t>。</w:t>
      </w:r>
    </w:p>
    <w:p w14:paraId="70E1E440">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2.5采购范围：完成</w:t>
      </w:r>
      <w:r>
        <w:rPr>
          <w:rFonts w:hint="eastAsia"/>
          <w:color w:val="auto"/>
          <w:highlight w:val="none"/>
          <w:lang w:val="en-US" w:eastAsia="zh-CN"/>
        </w:rPr>
        <w:t>云南解化清洁能源开发有限公司解化化工分公司2026-2027年二甲醚厂煤气化辅助岗位等劳务外包项目</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人员需求包括但不限于：</w:t>
      </w:r>
    </w:p>
    <w:p w14:paraId="3AB47578">
      <w:pPr>
        <w:widowControl/>
        <w:numPr>
          <w:ilvl w:val="0"/>
          <w:numId w:val="0"/>
        </w:num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制气车间提供煤气化岗位辅助及现场卫生清扫工作，白班</w:t>
      </w:r>
      <w:r>
        <w:rPr>
          <w:rFonts w:hint="eastAsia" w:ascii="宋体" w:hAnsi="宋体" w:cs="宋体"/>
          <w:color w:val="auto"/>
          <w:szCs w:val="21"/>
          <w:highlight w:val="none"/>
          <w:lang w:val="en-US" w:eastAsia="zh-CN"/>
        </w:rPr>
        <w:t>至少</w:t>
      </w:r>
      <w:r>
        <w:rPr>
          <w:rFonts w:hint="eastAsia" w:ascii="宋体" w:hAnsi="宋体" w:eastAsia="宋体" w:cs="宋体"/>
          <w:color w:val="auto"/>
          <w:szCs w:val="21"/>
          <w:highlight w:val="none"/>
        </w:rPr>
        <w:t>8人，</w:t>
      </w:r>
      <w:r>
        <w:rPr>
          <w:rFonts w:hint="eastAsia" w:ascii="宋体" w:hAnsi="宋体" w:cs="宋体"/>
          <w:color w:val="auto"/>
          <w:szCs w:val="21"/>
          <w:highlight w:val="none"/>
          <w:lang w:val="en-US" w:eastAsia="zh-CN"/>
        </w:rPr>
        <w:t>其中</w:t>
      </w:r>
      <w:r>
        <w:rPr>
          <w:rFonts w:hint="eastAsia" w:ascii="宋体" w:hAnsi="宋体" w:eastAsia="宋体" w:cs="宋体"/>
          <w:color w:val="auto"/>
          <w:szCs w:val="21"/>
          <w:highlight w:val="none"/>
        </w:rPr>
        <w:t>男性至少3人及以上，年龄：50周岁以下；</w:t>
      </w:r>
    </w:p>
    <w:p w14:paraId="4EF3BEEE">
      <w:pPr>
        <w:widowControl/>
        <w:numPr>
          <w:ilvl w:val="0"/>
          <w:numId w:val="0"/>
        </w:numPr>
        <w:spacing w:line="360" w:lineRule="auto"/>
        <w:ind w:firstLine="420" w:firstLineChars="200"/>
        <w:jc w:val="left"/>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rPr>
        <w:t>2）煤气水分离装置提供辅助工作</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其中：①参与623装置的生产运行工作，</w:t>
      </w:r>
      <w:r>
        <w:rPr>
          <w:rFonts w:hint="eastAsia" w:ascii="宋体" w:hAnsi="宋体" w:eastAsia="宋体" w:cs="宋体"/>
          <w:color w:val="auto"/>
          <w:szCs w:val="21"/>
          <w:highlight w:val="none"/>
        </w:rPr>
        <w:t>运行班每班</w:t>
      </w:r>
      <w:r>
        <w:rPr>
          <w:rFonts w:hint="eastAsia" w:ascii="宋体" w:hAnsi="宋体" w:cs="宋体"/>
          <w:color w:val="auto"/>
          <w:szCs w:val="21"/>
          <w:highlight w:val="none"/>
          <w:lang w:val="en-US" w:eastAsia="zh-CN"/>
        </w:rPr>
        <w:t>至少</w:t>
      </w:r>
      <w:r>
        <w:rPr>
          <w:rFonts w:hint="eastAsia" w:ascii="宋体" w:hAnsi="宋体" w:eastAsia="宋体" w:cs="宋体"/>
          <w:color w:val="auto"/>
          <w:szCs w:val="21"/>
          <w:highlight w:val="none"/>
        </w:rPr>
        <w:t>1人，四班三转，</w:t>
      </w:r>
      <w:r>
        <w:rPr>
          <w:rFonts w:hint="eastAsia" w:ascii="宋体" w:hAnsi="宋体" w:cs="宋体"/>
          <w:color w:val="auto"/>
          <w:szCs w:val="21"/>
          <w:highlight w:val="none"/>
          <w:lang w:val="en-US" w:eastAsia="zh-CN"/>
        </w:rPr>
        <w:t>因此跟班倒人员至少4人，</w:t>
      </w:r>
      <w:r>
        <w:rPr>
          <w:rFonts w:hint="eastAsia" w:ascii="宋体" w:hAnsi="宋体" w:eastAsia="宋体" w:cs="宋体"/>
          <w:color w:val="auto"/>
          <w:szCs w:val="21"/>
          <w:highlight w:val="none"/>
        </w:rPr>
        <w:t>男性，高中及以上学历，40周岁以下</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②负责设备日常倒换除垢清洗、设备系统的维护疏通以及装置现场卫生清理工作，服从车间调度参与其它装置的应急突击工作。</w:t>
      </w:r>
      <w:r>
        <w:rPr>
          <w:rFonts w:hint="eastAsia" w:ascii="宋体" w:hAnsi="宋体" w:eastAsia="宋体" w:cs="宋体"/>
          <w:color w:val="auto"/>
          <w:szCs w:val="21"/>
          <w:highlight w:val="none"/>
        </w:rPr>
        <w:t>白班</w:t>
      </w:r>
      <w:r>
        <w:rPr>
          <w:rFonts w:hint="eastAsia" w:ascii="宋体" w:hAnsi="宋体" w:cs="宋体"/>
          <w:color w:val="auto"/>
          <w:szCs w:val="21"/>
          <w:highlight w:val="none"/>
          <w:lang w:val="en-US" w:eastAsia="zh-CN"/>
        </w:rPr>
        <w:t>至少</w:t>
      </w:r>
      <w:r>
        <w:rPr>
          <w:rFonts w:hint="eastAsia" w:ascii="宋体" w:hAnsi="宋体" w:eastAsia="宋体" w:cs="宋体"/>
          <w:color w:val="auto"/>
          <w:szCs w:val="21"/>
          <w:highlight w:val="none"/>
        </w:rPr>
        <w:t>6人，男性，初中及以上学历，50周岁以下。</w:t>
      </w:r>
      <w:r>
        <w:rPr>
          <w:rFonts w:hint="eastAsia" w:ascii="Times New Roman" w:hAnsi="Times New Roman" w:eastAsia="宋体" w:cs="Times New Roman"/>
          <w:color w:val="auto"/>
          <w:highlight w:val="none"/>
          <w:lang w:val="en-US" w:eastAsia="zh-CN"/>
        </w:rPr>
        <w:t>具体要求详见“第五章 采购人需求”。</w:t>
      </w:r>
    </w:p>
    <w:p w14:paraId="2190298F">
      <w:pPr>
        <w:widowControl/>
        <w:spacing w:line="360" w:lineRule="auto"/>
        <w:ind w:firstLine="420" w:firstLineChars="20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2.6资金来源：</w:t>
      </w:r>
      <w:r>
        <w:rPr>
          <w:rFonts w:hint="eastAsia" w:cs="Times New Roman"/>
          <w:color w:val="auto"/>
          <w:highlight w:val="none"/>
          <w:lang w:val="en-US" w:eastAsia="zh-CN"/>
        </w:rPr>
        <w:t>企业自筹，</w:t>
      </w:r>
      <w:r>
        <w:rPr>
          <w:rFonts w:hint="eastAsia" w:ascii="Times New Roman" w:hAnsi="Times New Roman" w:eastAsia="宋体" w:cs="Times New Roman"/>
          <w:color w:val="auto"/>
          <w:highlight w:val="none"/>
          <w:lang w:val="en-US" w:eastAsia="zh-CN"/>
        </w:rPr>
        <w:t>已落实。本项目预估金额为</w:t>
      </w:r>
      <w:r>
        <w:rPr>
          <w:rFonts w:hint="eastAsia" w:cs="Times New Roman"/>
          <w:color w:val="auto"/>
          <w:highlight w:val="none"/>
          <w:lang w:val="en-US" w:eastAsia="zh-CN"/>
        </w:rPr>
        <w:t>78</w:t>
      </w:r>
      <w:r>
        <w:rPr>
          <w:rFonts w:hint="eastAsia" w:ascii="Times New Roman" w:hAnsi="Times New Roman" w:eastAsia="宋体" w:cs="Times New Roman"/>
          <w:color w:val="auto"/>
          <w:highlight w:val="none"/>
          <w:lang w:val="en-US" w:eastAsia="zh-CN"/>
        </w:rPr>
        <w:t>万元。</w:t>
      </w:r>
    </w:p>
    <w:p w14:paraId="39CDCDC1">
      <w:pPr>
        <w:widowControl/>
        <w:spacing w:line="360" w:lineRule="auto"/>
        <w:ind w:firstLine="420" w:firstLineChars="20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2.7服务周期：自合同签订之日起12个月。</w:t>
      </w:r>
    </w:p>
    <w:p w14:paraId="257FC05A">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8服务地点</w:t>
      </w:r>
      <w:r>
        <w:rPr>
          <w:rFonts w:hint="eastAsia" w:ascii="宋体" w:hAnsi="宋体" w:cs="宋体"/>
          <w:color w:val="auto"/>
          <w:szCs w:val="21"/>
          <w:highlight w:val="none"/>
        </w:rPr>
        <w:t>：云南解化清洁能源开发有限公司解化化工分公司指定地点</w:t>
      </w:r>
      <w:r>
        <w:rPr>
          <w:rFonts w:hint="eastAsia" w:ascii="宋体" w:hAnsi="宋体" w:eastAsia="宋体" w:cs="宋体"/>
          <w:color w:val="auto"/>
          <w:szCs w:val="21"/>
          <w:highlight w:val="none"/>
          <w:lang w:val="en-US" w:eastAsia="zh-CN"/>
        </w:rPr>
        <w:t>。</w:t>
      </w:r>
    </w:p>
    <w:p w14:paraId="2CD629F7">
      <w:pPr>
        <w:spacing w:line="360" w:lineRule="auto"/>
        <w:ind w:firstLine="420" w:firstLineChars="200"/>
        <w:jc w:val="left"/>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9</w:t>
      </w:r>
      <w:r>
        <w:rPr>
          <w:rFonts w:hint="eastAsia" w:hAnsi="宋体" w:cs="宋体"/>
          <w:color w:val="auto"/>
          <w:sz w:val="21"/>
          <w:szCs w:val="21"/>
          <w:highlight w:val="none"/>
        </w:rPr>
        <w:t>质量要求</w:t>
      </w:r>
      <w:r>
        <w:rPr>
          <w:rFonts w:hint="eastAsia" w:hAnsi="宋体" w:cs="宋体"/>
          <w:color w:val="auto"/>
          <w:sz w:val="21"/>
          <w:szCs w:val="21"/>
          <w:highlight w:val="none"/>
          <w:lang w:val="en-US" w:eastAsia="zh-CN"/>
        </w:rPr>
        <w:t>及标准</w:t>
      </w:r>
      <w:r>
        <w:rPr>
          <w:rFonts w:hint="eastAsia" w:ascii="宋体" w:hAnsi="宋体" w:eastAsia="宋体" w:cs="宋体"/>
          <w:color w:val="auto"/>
          <w:szCs w:val="21"/>
          <w:highlight w:val="none"/>
          <w:lang w:val="en-US" w:eastAsia="zh-CN"/>
        </w:rPr>
        <w:t>：</w:t>
      </w:r>
      <w:r>
        <w:rPr>
          <w:rFonts w:hint="eastAsia" w:ascii="Times New Roman" w:hAnsi="Times New Roman" w:eastAsia="宋体" w:cs="Times New Roman"/>
          <w:color w:val="auto"/>
          <w:highlight w:val="none"/>
          <w:lang w:val="en-US" w:eastAsia="zh-CN"/>
        </w:rPr>
        <w:t>符合国家、行业相关标准和规范的要求，满足合同规定的标准要求。</w:t>
      </w:r>
    </w:p>
    <w:p w14:paraId="2F2B8EAF">
      <w:pPr>
        <w:pStyle w:val="24"/>
        <w:spacing w:line="360" w:lineRule="auto"/>
        <w:ind w:firstLine="400" w:firstLineChars="20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lang w:val="en-US" w:eastAsia="zh-CN"/>
        </w:rPr>
        <w:t>本项目资格审查方式为资格后审。</w:t>
      </w:r>
    </w:p>
    <w:p w14:paraId="485D045A">
      <w:pPr>
        <w:pStyle w:val="3"/>
        <w:spacing w:before="0" w:after="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三、供应商资格要求</w:t>
      </w:r>
    </w:p>
    <w:p w14:paraId="532A56E8">
      <w:pPr>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供应商须是在中华人民共和国境内合法注册的法人或其他组织，具有独立承担民事责任的能力。</w:t>
      </w:r>
    </w:p>
    <w:p w14:paraId="3F7C5AE3">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3.1资质要求：</w:t>
      </w:r>
    </w:p>
    <w:p w14:paraId="6F52E24D">
      <w:p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供应商应当具备纳税人资格</w:t>
      </w:r>
      <w:r>
        <w:rPr>
          <w:rFonts w:hint="eastAsia" w:ascii="宋体" w:hAnsi="宋体" w:cs="宋体"/>
          <w:color w:val="000000"/>
          <w:szCs w:val="21"/>
          <w:lang w:eastAsia="zh-CN"/>
        </w:rPr>
        <w:t>。</w:t>
      </w:r>
      <w:r>
        <w:rPr>
          <w:rFonts w:hint="eastAsia" w:ascii="宋体" w:hAnsi="宋体" w:cs="宋体"/>
          <w:color w:val="000000"/>
          <w:szCs w:val="21"/>
        </w:rPr>
        <w:t>提供相关部门开具的纳税人证明材料或发票扫描件。</w:t>
      </w:r>
    </w:p>
    <w:p w14:paraId="7EF053C8">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信誉要求：</w:t>
      </w:r>
    </w:p>
    <w:p w14:paraId="3A25D331">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(1)未被“中国执行信息公开网(http://zxgk.court.gov.cn/shixin/)”网站列入“失信被执行人”（提供相关截图）;</w:t>
      </w:r>
    </w:p>
    <w:p w14:paraId="393A8938">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(2)未被“信用中国(https://www.creditchina.gov.cn/)”网站列入“重大税收违法失信主体名单”（提供相关截图）；</w:t>
      </w:r>
    </w:p>
    <w:p w14:paraId="6357A28C">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注:由</w:t>
      </w:r>
      <w:r>
        <w:rPr>
          <w:rFonts w:hint="eastAsia" w:hAnsi="宋体" w:eastAsia="宋体" w:cs="宋体"/>
          <w:color w:val="auto"/>
          <w:spacing w:val="0"/>
          <w:highlight w:val="none"/>
          <w:lang w:val="en-US" w:eastAsia="zh-CN"/>
        </w:rPr>
        <w:t>采购</w:t>
      </w:r>
      <w:r>
        <w:rPr>
          <w:rFonts w:hint="eastAsia" w:hAnsi="宋体" w:eastAsia="宋体" w:cs="宋体"/>
          <w:color w:val="auto"/>
          <w:spacing w:val="0"/>
          <w:highlight w:val="none"/>
        </w:rPr>
        <w:t>人或代理机构在开标截止时间后查询，并将查询结果交由</w:t>
      </w:r>
      <w:r>
        <w:rPr>
          <w:rFonts w:hint="eastAsia" w:hAnsi="宋体" w:eastAsia="宋体" w:cs="宋体"/>
          <w:color w:val="auto"/>
          <w:spacing w:val="0"/>
          <w:highlight w:val="none"/>
          <w:lang w:val="en-US" w:eastAsia="zh-CN"/>
        </w:rPr>
        <w:t>谈判小组</w:t>
      </w:r>
      <w:r>
        <w:rPr>
          <w:rFonts w:hint="eastAsia" w:hAnsi="宋体" w:eastAsia="宋体" w:cs="宋体"/>
          <w:color w:val="auto"/>
          <w:spacing w:val="0"/>
          <w:highlight w:val="none"/>
        </w:rPr>
        <w:t>审查。</w:t>
      </w:r>
    </w:p>
    <w:p w14:paraId="2AC5DB2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财务要求：</w:t>
      </w:r>
    </w:p>
    <w:p w14:paraId="25E4FB6E">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供应商</w:t>
      </w:r>
      <w:r>
        <w:rPr>
          <w:rFonts w:hint="eastAsia" w:ascii="宋体" w:hAnsi="宋体" w:cs="宋体"/>
          <w:b w:val="0"/>
          <w:bCs w:val="0"/>
          <w:color w:val="auto"/>
          <w:szCs w:val="21"/>
          <w:highlight w:val="none"/>
        </w:rPr>
        <w:t>具有良好的财务状况，提供</w:t>
      </w:r>
      <w:r>
        <w:rPr>
          <w:rFonts w:hint="eastAsia" w:ascii="宋体" w:hAnsi="宋体" w:cs="宋体"/>
          <w:b w:val="0"/>
          <w:bCs w:val="0"/>
          <w:color w:val="auto"/>
          <w:szCs w:val="21"/>
          <w:highlight w:val="none"/>
          <w:lang w:eastAsia="zh-CN"/>
        </w:rPr>
        <w:t>2023～2025年任意一年的</w:t>
      </w:r>
      <w:r>
        <w:rPr>
          <w:rFonts w:hint="eastAsia" w:ascii="宋体" w:hAnsi="宋体" w:cs="宋体"/>
          <w:b w:val="0"/>
          <w:bCs w:val="0"/>
          <w:color w:val="auto"/>
          <w:szCs w:val="21"/>
          <w:highlight w:val="none"/>
        </w:rPr>
        <w:t>财务报表（资产负债表、利润表、现金流量表）或</w:t>
      </w:r>
      <w:r>
        <w:rPr>
          <w:rFonts w:hint="eastAsia" w:ascii="宋体" w:hAnsi="宋体" w:cs="宋体"/>
          <w:b w:val="0"/>
          <w:bCs w:val="0"/>
          <w:color w:val="auto"/>
          <w:szCs w:val="21"/>
          <w:highlight w:val="none"/>
          <w:lang w:eastAsia="zh-CN"/>
        </w:rPr>
        <w:t>响应文件</w:t>
      </w:r>
      <w:r>
        <w:rPr>
          <w:rFonts w:hint="eastAsia" w:ascii="宋体" w:hAnsi="宋体" w:cs="宋体"/>
          <w:b w:val="0"/>
          <w:bCs w:val="0"/>
          <w:color w:val="auto"/>
          <w:szCs w:val="21"/>
          <w:highlight w:val="none"/>
        </w:rPr>
        <w:t>递交截止时间前3个月内银行出具的资信证明，</w:t>
      </w:r>
      <w:r>
        <w:rPr>
          <w:rFonts w:hint="eastAsia" w:ascii="宋体" w:hAnsi="宋体" w:eastAsia="宋体" w:cs="宋体"/>
          <w:color w:val="auto"/>
          <w:szCs w:val="21"/>
          <w:highlight w:val="none"/>
        </w:rPr>
        <w:t>若供应商成立不足三年，则应提供自成立之日起至最近一个完整会计年度的财务报表（包括资产负债表、利润表和现金流量表），或提供响应文件递交截止时间前3个月内由银行出具的资信证明。</w:t>
      </w:r>
    </w:p>
    <w:p w14:paraId="0958FE45">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业绩要求：</w:t>
      </w:r>
      <w:r>
        <w:rPr>
          <w:rFonts w:hint="eastAsia" w:ascii="宋体" w:hAnsi="宋体" w:eastAsia="宋体" w:cs="宋体"/>
          <w:color w:val="auto"/>
          <w:szCs w:val="21"/>
          <w:highlight w:val="none"/>
        </w:rPr>
        <w:t>供应商近年</w:t>
      </w:r>
      <w:r>
        <w:rPr>
          <w:rFonts w:hint="eastAsia"/>
          <w:highlight w:val="none"/>
        </w:rPr>
        <w:t>（</w:t>
      </w:r>
      <w:r>
        <w:rPr>
          <w:rFonts w:hint="eastAsia"/>
          <w:highlight w:val="none"/>
          <w:lang w:eastAsia="zh-CN"/>
        </w:rPr>
        <w:t>2023年1月1日</w:t>
      </w:r>
      <w:r>
        <w:rPr>
          <w:rFonts w:hint="eastAsia"/>
          <w:highlight w:val="none"/>
        </w:rPr>
        <w:t>至今）至少承担过1个类似业绩，类似业绩是指</w:t>
      </w:r>
      <w:r>
        <w:rPr>
          <w:rFonts w:hint="eastAsia"/>
          <w:b/>
          <w:bCs/>
          <w:highlight w:val="none"/>
          <w:u w:val="none"/>
          <w:lang w:val="en-US" w:eastAsia="zh-CN"/>
        </w:rPr>
        <w:t>生产型企业相关</w:t>
      </w:r>
      <w:r>
        <w:rPr>
          <w:rFonts w:hint="eastAsia"/>
          <w:b/>
          <w:bCs/>
          <w:highlight w:val="none"/>
          <w:u w:val="none"/>
        </w:rPr>
        <w:t>劳务</w:t>
      </w:r>
      <w:r>
        <w:rPr>
          <w:rFonts w:hint="eastAsia"/>
          <w:b/>
          <w:bCs/>
          <w:highlight w:val="none"/>
          <w:u w:val="none"/>
          <w:lang w:val="en-US" w:eastAsia="zh-CN"/>
        </w:rPr>
        <w:t>承包业绩</w:t>
      </w:r>
      <w:r>
        <w:rPr>
          <w:rFonts w:hint="eastAsia"/>
          <w:highlight w:val="none"/>
        </w:rPr>
        <w:t>，需提供业绩证明材料（业绩证明材料是指中标通知书或合同协议书）</w:t>
      </w:r>
      <w:r>
        <w:rPr>
          <w:rFonts w:hint="eastAsia"/>
          <w:color w:val="000000"/>
        </w:rPr>
        <w:t>。</w:t>
      </w:r>
    </w:p>
    <w:p w14:paraId="66DF86B0">
      <w:pPr>
        <w:spacing w:line="360" w:lineRule="auto"/>
        <w:ind w:firstLine="420" w:firstLineChars="200"/>
        <w:jc w:val="left"/>
        <w:rPr>
          <w:rFonts w:hint="default" w:ascii="Times New Roman" w:hAnsi="Times New Roman" w:eastAsia="宋体" w:cs="Times New Roman"/>
          <w:color w:val="auto"/>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联合体要求：</w:t>
      </w:r>
      <w:r>
        <w:rPr>
          <w:rFonts w:hint="eastAsia" w:ascii="宋体" w:hAnsi="宋体" w:cs="宋体"/>
          <w:color w:val="auto"/>
          <w:highlight w:val="none"/>
        </w:rPr>
        <w:t>本次谈判不接受联合体。</w:t>
      </w:r>
    </w:p>
    <w:p w14:paraId="7749CDF5">
      <w:pPr>
        <w:pStyle w:val="3"/>
        <w:spacing w:before="0" w:after="0"/>
        <w:jc w:val="both"/>
        <w:rPr>
          <w:rFonts w:hint="eastAsia" w:ascii="宋体" w:hAnsi="宋体" w:eastAsia="宋体" w:cs="宋体"/>
          <w:b/>
          <w:bCs/>
          <w:sz w:val="24"/>
          <w:szCs w:val="24"/>
          <w:lang w:val="en-US" w:eastAsia="zh-CN"/>
        </w:rPr>
      </w:pPr>
      <w:bookmarkStart w:id="27" w:name="_Toc14962"/>
      <w:bookmarkStart w:id="28" w:name="_Toc420917818"/>
      <w:bookmarkStart w:id="29" w:name="_Toc17844"/>
      <w:bookmarkStart w:id="30" w:name="_Toc8278"/>
      <w:bookmarkStart w:id="31" w:name="_Toc17082"/>
      <w:bookmarkStart w:id="32" w:name="_Toc3293"/>
      <w:bookmarkStart w:id="33" w:name="_Toc23226"/>
      <w:bookmarkStart w:id="34" w:name="_Toc19302"/>
      <w:bookmarkStart w:id="35" w:name="_Toc1680"/>
      <w:bookmarkStart w:id="36" w:name="_Toc17378"/>
      <w:bookmarkStart w:id="37" w:name="_Toc6552"/>
      <w:bookmarkStart w:id="38" w:name="_Toc24495"/>
      <w:bookmarkStart w:id="39" w:name="_Toc8224"/>
      <w:bookmarkStart w:id="40" w:name="_Toc3081"/>
      <w:bookmarkStart w:id="41" w:name="_Toc32292"/>
      <w:bookmarkStart w:id="42" w:name="_Toc21838"/>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、竞争性谈判文件的获取</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1690A83">
      <w:pPr>
        <w:spacing w:line="360" w:lineRule="auto"/>
        <w:ind w:firstLine="422" w:firstLineChars="200"/>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（1）现场获取：</w:t>
      </w:r>
      <w:r>
        <w:rPr>
          <w:rFonts w:hint="eastAsia" w:ascii="宋体" w:hAnsi="宋体" w:eastAsia="宋体" w:cs="宋体"/>
          <w:sz w:val="21"/>
          <w:szCs w:val="21"/>
          <w:lang w:val="en-US" w:eastAsia="zh-CN"/>
        </w:rPr>
        <w:t>凡有意参加投标者，请于</w:t>
      </w:r>
      <w:r>
        <w:rPr>
          <w:rFonts w:hint="eastAsia" w:ascii="宋体" w:hAnsi="宋体" w:cs="宋体"/>
          <w:szCs w:val="21"/>
        </w:rPr>
        <w:t>自发出之日至</w:t>
      </w:r>
      <w:r>
        <w:rPr>
          <w:rFonts w:hint="eastAsia" w:ascii="宋体" w:hAnsi="宋体" w:cs="宋体"/>
          <w:szCs w:val="21"/>
          <w:u w:val="single"/>
          <w:lang w:val="en-US" w:eastAsia="zh-CN"/>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4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17 </w:t>
      </w:r>
      <w:r>
        <w:rPr>
          <w:rFonts w:hint="eastAsia" w:ascii="宋体" w:hAnsi="宋体" w:cs="宋体"/>
          <w:szCs w:val="21"/>
        </w:rPr>
        <w:t>日止</w:t>
      </w:r>
      <w:r>
        <w:rPr>
          <w:rFonts w:hint="eastAsia" w:ascii="宋体" w:hAnsi="宋体" w:eastAsia="宋体" w:cs="宋体"/>
          <w:sz w:val="21"/>
          <w:szCs w:val="21"/>
          <w:lang w:val="en-US" w:eastAsia="zh-CN"/>
        </w:rPr>
        <w:t>，每日上午9:00时至11:30时，下午1</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0时至17:00时（北京时间，下同）,在云南解化清洁能源开发有限公司解化分公司党委工作与人力资源部办公室南102室持法定代表人授权委托书原件、经办人居民身份证原件、营业执照复印件及参与确认回执（格式见附件）。</w:t>
      </w:r>
    </w:p>
    <w:p w14:paraId="7CEB4A8D">
      <w:pPr>
        <w:spacing w:line="360" w:lineRule="auto"/>
        <w:ind w:firstLine="422" w:firstLineChars="200"/>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（2）网上获取：</w:t>
      </w:r>
      <w:r>
        <w:rPr>
          <w:rFonts w:hint="eastAsia" w:ascii="宋体" w:hAnsi="宋体" w:eastAsia="宋体" w:cs="宋体"/>
          <w:sz w:val="21"/>
          <w:szCs w:val="21"/>
          <w:lang w:val="en-US" w:eastAsia="zh-CN"/>
        </w:rPr>
        <w:t>凡有意参加投标者，请于</w:t>
      </w:r>
      <w:r>
        <w:rPr>
          <w:rFonts w:hint="eastAsia" w:ascii="宋体" w:hAnsi="宋体" w:cs="宋体"/>
          <w:szCs w:val="21"/>
        </w:rPr>
        <w:t>自发出之日至</w:t>
      </w:r>
      <w:r>
        <w:rPr>
          <w:rFonts w:hint="eastAsia" w:ascii="宋体" w:hAnsi="宋体" w:cs="宋体"/>
          <w:szCs w:val="21"/>
          <w:u w:val="single"/>
          <w:lang w:val="en-US" w:eastAsia="zh-CN"/>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4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17 </w:t>
      </w:r>
      <w:r>
        <w:rPr>
          <w:rFonts w:hint="eastAsia" w:ascii="宋体" w:hAnsi="宋体" w:cs="宋体"/>
          <w:szCs w:val="21"/>
        </w:rPr>
        <w:t>日</w:t>
      </w:r>
      <w:r>
        <w:rPr>
          <w:rFonts w:hint="eastAsia" w:ascii="宋体" w:hAnsi="宋体" w:cs="宋体"/>
          <w:szCs w:val="21"/>
          <w:lang w:val="en-US" w:eastAsia="zh-CN"/>
        </w:rPr>
        <w:t>17：00</w:t>
      </w:r>
      <w:r>
        <w:rPr>
          <w:rFonts w:hint="eastAsia" w:ascii="宋体" w:hAnsi="宋体" w:cs="宋体"/>
          <w:szCs w:val="21"/>
        </w:rPr>
        <w:t>止</w:t>
      </w:r>
      <w:r>
        <w:rPr>
          <w:rFonts w:hint="eastAsia" w:ascii="宋体" w:hAnsi="宋体" w:eastAsia="宋体" w:cs="宋体"/>
          <w:sz w:val="21"/>
          <w:szCs w:val="21"/>
          <w:lang w:val="en-US" w:eastAsia="zh-CN"/>
        </w:rPr>
        <w:t>，以书面形式确认是否参加本次采购活动（格式见附件），并将盖章后的法定代表人授权委托书原件、经办人居民身份证原件、营业执照复印件及参与确认回执电子版发送至电子邮箱826203765</w:t>
      </w:r>
      <w:r>
        <w:rPr>
          <w:rFonts w:hint="eastAsia" w:ascii="宋体" w:hAnsi="宋体" w:eastAsia="宋体" w:cs="宋体"/>
          <w:sz w:val="21"/>
          <w:szCs w:val="21"/>
          <w:highlight w:val="none"/>
          <w:lang w:val="en-US" w:eastAsia="zh-CN"/>
        </w:rPr>
        <w:t xml:space="preserve"> @qq.com</w:t>
      </w:r>
      <w:r>
        <w:rPr>
          <w:rFonts w:hint="eastAsia" w:ascii="宋体" w:hAnsi="宋体" w:eastAsia="宋体" w:cs="宋体"/>
          <w:sz w:val="21"/>
          <w:szCs w:val="21"/>
          <w:lang w:val="en-US" w:eastAsia="zh-CN"/>
        </w:rPr>
        <w:t>，采购人收到参与确认回执后，根据确认回执的邮箱发送采购文件。</w:t>
      </w:r>
    </w:p>
    <w:p w14:paraId="6808C2B0">
      <w:pPr>
        <w:spacing w:line="360" w:lineRule="auto"/>
        <w:ind w:firstLine="422" w:firstLineChars="200"/>
        <w:jc w:val="left"/>
        <w:rPr>
          <w:rFonts w:hint="eastAsia" w:ascii="宋体" w:hAnsi="宋体" w:eastAsia="宋体" w:cs="宋体"/>
          <w:kern w:val="0"/>
          <w:sz w:val="21"/>
          <w:szCs w:val="21"/>
        </w:rPr>
      </w:pPr>
      <w:r>
        <w:rPr>
          <w:rFonts w:hint="eastAsia" w:ascii="宋体" w:hAnsi="宋体" w:eastAsia="宋体" w:cs="宋体"/>
          <w:b/>
          <w:bCs/>
          <w:sz w:val="21"/>
          <w:szCs w:val="21"/>
          <w:lang w:val="en-US" w:eastAsia="zh-CN"/>
        </w:rPr>
        <w:t>注：在本公告规定的时间内未按上述要求的方式获取采购文件者，不得递交响应文件或参加报价。</w:t>
      </w:r>
    </w:p>
    <w:p w14:paraId="4B0A204E">
      <w:pPr>
        <w:pStyle w:val="3"/>
        <w:spacing w:before="0" w:after="0"/>
        <w:jc w:val="both"/>
        <w:rPr>
          <w:rFonts w:hint="eastAsia" w:ascii="宋体" w:hAnsi="宋体" w:eastAsia="宋体" w:cs="宋体"/>
          <w:color w:val="auto"/>
          <w:sz w:val="21"/>
          <w:szCs w:val="21"/>
          <w:lang w:eastAsia="zh-CN"/>
        </w:rPr>
      </w:pPr>
      <w:bookmarkStart w:id="43" w:name="_Toc86124037"/>
      <w:bookmarkStart w:id="44" w:name="_Toc27816"/>
      <w:bookmarkStart w:id="45" w:name="_Toc29852"/>
      <w:bookmarkStart w:id="46" w:name="_Toc16701"/>
      <w:bookmarkStart w:id="47" w:name="_Toc7830"/>
      <w:bookmarkStart w:id="48" w:name="_Toc3883"/>
      <w:bookmarkStart w:id="49" w:name="_Toc7184"/>
      <w:bookmarkStart w:id="50" w:name="_Toc13927"/>
      <w:bookmarkStart w:id="51" w:name="_Toc1363"/>
      <w:bookmarkStart w:id="52" w:name="_Toc6357"/>
      <w:bookmarkStart w:id="53" w:name="_Toc23782"/>
      <w:bookmarkStart w:id="54" w:name="_Toc6668"/>
      <w:bookmarkStart w:id="55" w:name="_Toc420917819"/>
      <w:bookmarkStart w:id="56" w:name="_Toc22668"/>
      <w:bookmarkStart w:id="57" w:name="_Toc16116"/>
      <w:bookmarkStart w:id="58" w:name="_Toc17928"/>
      <w:bookmarkStart w:id="59" w:name="_Toc25739"/>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、响应文件的递交</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Toc28359095"/>
      <w:bookmarkStart w:id="61" w:name="_Toc27618"/>
      <w:bookmarkStart w:id="62" w:name="_Toc35393805"/>
      <w:bookmarkStart w:id="63" w:name="_Toc23385"/>
      <w:bookmarkStart w:id="64" w:name="_Toc26618"/>
      <w:bookmarkStart w:id="65" w:name="_Toc28359018"/>
      <w:bookmarkStart w:id="66" w:name="_Toc50387020"/>
      <w:bookmarkStart w:id="67" w:name="_Toc35393636"/>
      <w:bookmarkStart w:id="68" w:name="_Toc9128"/>
      <w:r>
        <w:rPr>
          <w:rFonts w:hint="eastAsia" w:ascii="宋体" w:hAnsi="宋体" w:eastAsia="宋体" w:cs="宋体"/>
          <w:b/>
          <w:bCs/>
          <w:sz w:val="24"/>
          <w:szCs w:val="24"/>
          <w:lang w:val="en-US" w:eastAsia="zh-CN"/>
        </w:rPr>
        <w:t>（任选）</w:t>
      </w:r>
    </w:p>
    <w:p w14:paraId="59784CF3">
      <w:pPr>
        <w:pStyle w:val="19"/>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（1）现场递交：递交截止时间前将文件递交至</w:t>
      </w:r>
      <w:r>
        <w:rPr>
          <w:rFonts w:hint="eastAsia" w:ascii="宋体" w:hAnsi="宋体" w:eastAsia="宋体" w:cs="宋体"/>
          <w:color w:val="auto"/>
          <w:sz w:val="21"/>
          <w:szCs w:val="21"/>
          <w:lang w:val="en-US" w:eastAsia="zh-CN"/>
        </w:rPr>
        <w:t>云南省红河哈尼族彝族自治州开远市解化化工分公司工会俱乐部</w:t>
      </w:r>
      <w:r>
        <w:rPr>
          <w:rFonts w:hint="eastAsia" w:ascii="宋体" w:hAnsi="宋体" w:eastAsia="宋体" w:cs="宋体"/>
          <w:color w:val="auto"/>
          <w:sz w:val="21"/>
          <w:szCs w:val="21"/>
          <w:lang w:eastAsia="zh-CN"/>
        </w:rPr>
        <w:t>，逾期送达的或者未送达指定地点的响应文件，将被拒收。</w:t>
      </w:r>
    </w:p>
    <w:p w14:paraId="0D34B2F7">
      <w:pPr>
        <w:pStyle w:val="19"/>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（2）邮寄递交：递交截止时间前将文件邮寄至</w:t>
      </w:r>
      <w:r>
        <w:rPr>
          <w:rFonts w:hint="eastAsia" w:ascii="宋体" w:hAnsi="宋体" w:eastAsia="宋体" w:cs="宋体"/>
          <w:color w:val="auto"/>
          <w:sz w:val="21"/>
          <w:szCs w:val="21"/>
          <w:lang w:val="en-US" w:eastAsia="zh-CN"/>
        </w:rPr>
        <w:t>云南省红河哈尼族彝族自治州开远市解化化工分公司工会俱乐部</w:t>
      </w:r>
      <w:r>
        <w:rPr>
          <w:rFonts w:hint="eastAsia" w:ascii="宋体" w:hAnsi="宋体" w:eastAsia="宋体" w:cs="宋体"/>
          <w:color w:val="auto"/>
          <w:sz w:val="21"/>
          <w:szCs w:val="21"/>
          <w:lang w:eastAsia="zh-CN"/>
        </w:rPr>
        <w:t xml:space="preserve"> 收件人：许淑淇   联系电话：18184850705   邮件外包装备注本项目名称、编号、公司名称，以送达时间为准，逾期送达的或者未送达指定地点的响应文件，将被拒收。</w:t>
      </w:r>
    </w:p>
    <w:p w14:paraId="55E17D17">
      <w:pPr>
        <w:pStyle w:val="19"/>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响应文件的递交截止时间：2026年</w:t>
      </w:r>
      <w:r>
        <w:rPr>
          <w:rFonts w:hint="eastAsia" w:hAnsi="宋体" w:cs="宋体"/>
          <w:color w:val="auto"/>
          <w:sz w:val="21"/>
          <w:szCs w:val="21"/>
          <w:lang w:val="en-US" w:eastAsia="zh-CN"/>
        </w:rPr>
        <w:t>4</w:t>
      </w:r>
      <w:r>
        <w:rPr>
          <w:rFonts w:hint="eastAsia" w:ascii="宋体" w:hAnsi="宋体" w:eastAsia="宋体" w:cs="宋体"/>
          <w:color w:val="auto"/>
          <w:sz w:val="21"/>
          <w:szCs w:val="21"/>
          <w:lang w:val="en-US" w:eastAsia="zh-CN"/>
        </w:rPr>
        <w:t xml:space="preserve"> 月 </w:t>
      </w:r>
      <w:r>
        <w:rPr>
          <w:rFonts w:hint="eastAsia" w:hAnsi="宋体" w:cs="宋体"/>
          <w:color w:val="auto"/>
          <w:sz w:val="21"/>
          <w:szCs w:val="21"/>
          <w:lang w:val="en-US" w:eastAsia="zh-CN"/>
        </w:rPr>
        <w:t>21</w:t>
      </w:r>
      <w:r>
        <w:rPr>
          <w:rFonts w:hint="eastAsia" w:ascii="宋体" w:hAnsi="宋体" w:eastAsia="宋体" w:cs="宋体"/>
          <w:color w:val="auto"/>
          <w:sz w:val="21"/>
          <w:szCs w:val="21"/>
          <w:lang w:val="en-US" w:eastAsia="zh-CN"/>
        </w:rPr>
        <w:t>日</w:t>
      </w:r>
      <w:r>
        <w:rPr>
          <w:rFonts w:hint="eastAsia" w:hAnsi="宋体" w:cs="宋体"/>
          <w:color w:val="auto"/>
          <w:sz w:val="21"/>
          <w:szCs w:val="21"/>
          <w:lang w:val="en-US" w:eastAsia="zh-CN"/>
        </w:rPr>
        <w:t>14</w:t>
      </w:r>
      <w:r>
        <w:rPr>
          <w:rFonts w:hint="eastAsia" w:ascii="宋体" w:hAnsi="宋体" w:eastAsia="宋体" w:cs="宋体"/>
          <w:color w:val="auto"/>
          <w:sz w:val="21"/>
          <w:szCs w:val="21"/>
          <w:lang w:val="en-US" w:eastAsia="zh-CN"/>
        </w:rPr>
        <w:t xml:space="preserve"> 时止。</w:t>
      </w:r>
    </w:p>
    <w:bookmarkEnd w:id="60"/>
    <w:bookmarkEnd w:id="61"/>
    <w:bookmarkEnd w:id="62"/>
    <w:bookmarkEnd w:id="63"/>
    <w:bookmarkEnd w:id="64"/>
    <w:bookmarkEnd w:id="65"/>
    <w:bookmarkEnd w:id="66"/>
    <w:bookmarkEnd w:id="67"/>
    <w:bookmarkEnd w:id="68"/>
    <w:p w14:paraId="16500FE2">
      <w:pPr>
        <w:pStyle w:val="3"/>
        <w:spacing w:before="0" w:after="0"/>
        <w:jc w:val="both"/>
        <w:rPr>
          <w:rFonts w:hint="eastAsia" w:ascii="宋体" w:hAnsi="宋体" w:eastAsia="宋体" w:cs="宋体"/>
          <w:b/>
          <w:bCs/>
          <w:sz w:val="24"/>
          <w:szCs w:val="24"/>
          <w:lang w:val="en-US" w:eastAsia="zh-CN"/>
        </w:rPr>
      </w:pPr>
      <w:bookmarkStart w:id="69" w:name="_Toc19732"/>
      <w:bookmarkStart w:id="70" w:name="_Toc28656"/>
      <w:bookmarkStart w:id="71" w:name="_Toc26820"/>
      <w:bookmarkStart w:id="72" w:name="_Toc967"/>
      <w:bookmarkStart w:id="73" w:name="_Toc8978"/>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、联系</w:t>
      </w:r>
      <w:bookmarkEnd w:id="69"/>
      <w:bookmarkEnd w:id="70"/>
      <w:bookmarkEnd w:id="71"/>
      <w:bookmarkEnd w:id="72"/>
      <w:r>
        <w:rPr>
          <w:rFonts w:hint="eastAsia" w:ascii="宋体" w:hAnsi="宋体" w:eastAsia="宋体" w:cs="宋体"/>
          <w:b/>
          <w:bCs/>
          <w:sz w:val="24"/>
          <w:szCs w:val="24"/>
          <w:lang w:val="en-US" w:eastAsia="zh-CN"/>
        </w:rPr>
        <w:t>方式</w:t>
      </w:r>
      <w:bookmarkEnd w:id="73"/>
    </w:p>
    <w:p w14:paraId="606E5962">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采 购 人：云南解化清洁能源开发有限公司解化化工分公司</w:t>
      </w:r>
    </w:p>
    <w:p w14:paraId="1CA16AB4">
      <w:pPr>
        <w:spacing w:line="360" w:lineRule="auto"/>
        <w:ind w:firstLine="42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地    址：云南省红河州开远市小花桥</w:t>
      </w:r>
    </w:p>
    <w:p w14:paraId="3C0E1397">
      <w:pPr>
        <w:spacing w:line="360" w:lineRule="auto"/>
        <w:ind w:firstLine="42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联 系 人：飞玲</w:t>
      </w:r>
    </w:p>
    <w:p w14:paraId="0B7F4A50">
      <w:pPr>
        <w:spacing w:line="360" w:lineRule="auto"/>
        <w:ind w:firstLine="420" w:firstLineChars="200"/>
        <w:rPr>
          <w:rFonts w:hint="default" w:ascii="宋体" w:hAnsi="宋体" w:eastAsia="宋体" w:cs="宋体"/>
          <w:sz w:val="21"/>
          <w:szCs w:val="21"/>
          <w:lang w:val="en-US" w:eastAsia="zh-CN"/>
        </w:rPr>
      </w:pPr>
      <w:r>
        <w:rPr>
          <w:rFonts w:hint="default" w:ascii="宋体" w:hAnsi="宋体" w:eastAsia="宋体" w:cs="宋体"/>
          <w:color w:val="auto"/>
          <w:highlight w:val="none"/>
          <w:lang w:val="en-US" w:eastAsia="zh-CN"/>
        </w:rPr>
        <w:t>联系电话：13769356170</w:t>
      </w:r>
    </w:p>
    <w:p w14:paraId="67CBC8D4">
      <w:pPr>
        <w:pStyle w:val="3"/>
        <w:spacing w:before="0" w:after="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、监督部门</w:t>
      </w:r>
    </w:p>
    <w:p w14:paraId="15550C96">
      <w:pPr>
        <w:spacing w:line="336"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云南解化清洁能源开发有限公司解化化工分公司直属第二党支部书记</w:t>
      </w:r>
    </w:p>
    <w:p w14:paraId="6375B613">
      <w:pPr>
        <w:spacing w:line="336"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地   址：云南省开远市小花桥</w:t>
      </w:r>
    </w:p>
    <w:p w14:paraId="1157959B">
      <w:pPr>
        <w:spacing w:line="336"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联 系 人：周韬</w:t>
      </w:r>
    </w:p>
    <w:p w14:paraId="575C9EC2">
      <w:pPr>
        <w:spacing w:line="336"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联系电话：13577324766</w:t>
      </w:r>
    </w:p>
    <w:p w14:paraId="48245E54">
      <w:pPr>
        <w:spacing w:before="43"/>
        <w:ind w:left="113" w:leftChars="54" w:firstLine="304" w:firstLineChars="145"/>
        <w:jc w:val="left"/>
        <w:outlineLvl w:val="1"/>
        <w:rPr>
          <w:rFonts w:hint="eastAsia" w:ascii="宋体" w:hAnsi="宋体" w:cs="宋体"/>
          <w:szCs w:val="21"/>
        </w:rPr>
      </w:pPr>
      <w:r>
        <w:rPr>
          <w:rFonts w:hint="eastAsia" w:ascii="宋体" w:hAnsi="宋体" w:cs="宋体"/>
          <w:szCs w:val="21"/>
        </w:rPr>
        <w:br w:type="page"/>
      </w:r>
      <w:bookmarkStart w:id="74" w:name="_Toc21604"/>
      <w:r>
        <w:rPr>
          <w:rFonts w:hint="eastAsia" w:ascii="宋体" w:hAnsi="宋体" w:cs="宋体"/>
          <w:szCs w:val="21"/>
        </w:rPr>
        <w:t>附件：</w:t>
      </w:r>
      <w:r>
        <w:rPr>
          <w:rFonts w:hint="eastAsia" w:ascii="宋体" w:hAnsi="宋体" w:cs="宋体"/>
          <w:szCs w:val="21"/>
          <w:lang w:val="en-US" w:eastAsia="zh-CN"/>
        </w:rPr>
        <w:t>参与确认</w:t>
      </w:r>
      <w:r>
        <w:rPr>
          <w:rFonts w:hint="eastAsia" w:ascii="宋体" w:hAnsi="宋体" w:cs="宋体"/>
          <w:szCs w:val="21"/>
        </w:rPr>
        <w:t>回执</w:t>
      </w:r>
      <w:bookmarkEnd w:id="74"/>
    </w:p>
    <w:p w14:paraId="12ED9BA2">
      <w:pPr>
        <w:pStyle w:val="19"/>
        <w:rPr>
          <w:rFonts w:hint="eastAsia" w:hAnsi="宋体" w:cs="宋体"/>
          <w:color w:val="auto"/>
          <w:sz w:val="21"/>
          <w:szCs w:val="21"/>
        </w:rPr>
      </w:pPr>
    </w:p>
    <w:p w14:paraId="634354AC">
      <w:pPr>
        <w:pStyle w:val="19"/>
        <w:rPr>
          <w:rFonts w:hint="eastAsia" w:hAnsi="宋体" w:cs="宋体"/>
          <w:color w:val="auto"/>
          <w:sz w:val="21"/>
          <w:szCs w:val="21"/>
        </w:rPr>
      </w:pPr>
    </w:p>
    <w:p w14:paraId="7DBEA3DB">
      <w:pPr>
        <w:pStyle w:val="19"/>
        <w:rPr>
          <w:rFonts w:hint="eastAsia" w:hAnsi="宋体" w:cs="宋体"/>
          <w:color w:val="auto"/>
          <w:sz w:val="21"/>
          <w:szCs w:val="21"/>
        </w:rPr>
      </w:pPr>
    </w:p>
    <w:p w14:paraId="700BDD93">
      <w:pPr>
        <w:spacing w:before="193"/>
        <w:ind w:right="297"/>
        <w:jc w:val="center"/>
        <w:rPr>
          <w:rFonts w:hint="eastAsia" w:ascii="宋体" w:hAnsi="宋体" w:cs="宋体"/>
          <w:sz w:val="28"/>
          <w:szCs w:val="28"/>
        </w:rPr>
      </w:pPr>
      <w:r>
        <w:rPr>
          <w:rFonts w:hint="eastAsia" w:ascii="宋体" w:hAnsi="宋体" w:cs="宋体"/>
          <w:sz w:val="28"/>
          <w:szCs w:val="28"/>
          <w:lang w:val="en-US" w:eastAsia="zh-CN"/>
        </w:rPr>
        <w:t>参与确认</w:t>
      </w:r>
      <w:r>
        <w:rPr>
          <w:rFonts w:hint="eastAsia" w:ascii="宋体" w:hAnsi="宋体" w:cs="宋体"/>
          <w:sz w:val="28"/>
          <w:szCs w:val="28"/>
        </w:rPr>
        <w:t>回执</w:t>
      </w:r>
    </w:p>
    <w:p w14:paraId="745C4B37">
      <w:pPr>
        <w:pStyle w:val="19"/>
        <w:rPr>
          <w:rFonts w:hint="eastAsia" w:hAnsi="宋体" w:cs="宋体"/>
          <w:color w:val="auto"/>
          <w:sz w:val="21"/>
          <w:szCs w:val="21"/>
        </w:rPr>
      </w:pPr>
    </w:p>
    <w:p w14:paraId="5BA1DA03">
      <w:pPr>
        <w:pStyle w:val="19"/>
        <w:spacing w:before="8"/>
        <w:rPr>
          <w:rFonts w:hint="eastAsia" w:hAnsi="宋体" w:cs="宋体"/>
          <w:color w:val="auto"/>
          <w:sz w:val="21"/>
          <w:szCs w:val="21"/>
        </w:rPr>
      </w:pPr>
    </w:p>
    <w:p w14:paraId="4B18DADF">
      <w:pPr>
        <w:pStyle w:val="19"/>
        <w:tabs>
          <w:tab w:val="left" w:pos="2291"/>
        </w:tabs>
        <w:spacing w:before="78" w:line="360" w:lineRule="auto"/>
        <w:jc w:val="left"/>
        <w:rPr>
          <w:rFonts w:hint="eastAsia" w:hAnsi="宋体" w:cs="宋体"/>
          <w:color w:val="auto"/>
          <w:sz w:val="21"/>
          <w:szCs w:val="21"/>
        </w:rPr>
      </w:pPr>
      <w:r>
        <w:rPr>
          <w:rFonts w:hint="eastAsia" w:ascii="宋体" w:hAnsi="宋体" w:eastAsia="宋体" w:cs="宋体"/>
          <w:color w:val="auto"/>
          <w:spacing w:val="-3"/>
          <w:sz w:val="21"/>
          <w:szCs w:val="21"/>
        </w:rPr>
        <w:t xml:space="preserve"> 云南解化清洁能源开发有限公司解化化工分公司</w:t>
      </w:r>
      <w:r>
        <w:rPr>
          <w:rFonts w:hint="eastAsia" w:hAnsi="宋体" w:cs="宋体"/>
          <w:color w:val="auto"/>
          <w:sz w:val="21"/>
          <w:szCs w:val="21"/>
        </w:rPr>
        <w:t>：</w:t>
      </w:r>
    </w:p>
    <w:p w14:paraId="448584FB">
      <w:pPr>
        <w:bidi w:val="0"/>
        <w:spacing w:line="360" w:lineRule="auto"/>
        <w:ind w:left="0" w:leftChars="0" w:firstLine="420" w:firstLineChars="200"/>
        <w:jc w:val="left"/>
        <w:rPr>
          <w:rFonts w:hint="eastAsia"/>
        </w:rPr>
      </w:pPr>
      <w:r>
        <w:rPr>
          <w:rFonts w:hint="eastAsia"/>
        </w:rPr>
        <w:t>我</w:t>
      </w:r>
      <w:r>
        <w:rPr>
          <w:rFonts w:hint="eastAsia"/>
          <w:lang w:val="en-US" w:eastAsia="zh-CN"/>
        </w:rPr>
        <w:t>公</w:t>
      </w:r>
      <w:r>
        <w:rPr>
          <w:rFonts w:hint="eastAsia" w:eastAsia="宋体"/>
          <w:lang w:val="en-US" w:eastAsia="zh-CN"/>
        </w:rPr>
        <w:t>司</w:t>
      </w:r>
      <w:r>
        <w:rPr>
          <w:rFonts w:hint="eastAsia" w:eastAsia="宋体"/>
        </w:rPr>
        <w:t>对</w:t>
      </w:r>
      <w:r>
        <w:rPr>
          <w:rFonts w:hint="eastAsia" w:ascii="宋体" w:hAnsi="宋体" w:eastAsia="宋体" w:cs="宋体"/>
          <w:sz w:val="21"/>
          <w:szCs w:val="21"/>
          <w:u w:val="single"/>
          <w:lang w:eastAsia="zh-CN"/>
        </w:rPr>
        <w:t>云南解化清洁能源开发有限公司解化化工分公司2026-2027年二甲醚厂煤气化辅助岗位等劳务外包项目</w:t>
      </w:r>
      <w:r>
        <w:rPr>
          <w:rFonts w:hint="eastAsia"/>
        </w:rPr>
        <w:t>公告已知悉，我</w:t>
      </w:r>
      <w:r>
        <w:rPr>
          <w:rFonts w:hint="eastAsia"/>
          <w:lang w:val="en-US" w:eastAsia="zh-CN"/>
        </w:rPr>
        <w:t>公司</w:t>
      </w:r>
      <w:r>
        <w:rPr>
          <w:rFonts w:hint="eastAsia"/>
        </w:rPr>
        <w:t>将按公告要求参加贵公司此项采购活动，并作出以下承诺：</w:t>
      </w:r>
    </w:p>
    <w:p w14:paraId="19B339FF">
      <w:pPr>
        <w:bidi w:val="0"/>
        <w:spacing w:line="360" w:lineRule="auto"/>
        <w:ind w:left="0" w:leftChars="0" w:firstLine="420" w:firstLineChars="200"/>
        <w:jc w:val="left"/>
        <w:rPr>
          <w:rFonts w:hint="eastAsia"/>
        </w:rPr>
      </w:pPr>
      <w:r>
        <w:rPr>
          <w:rFonts w:hint="eastAsia"/>
          <w:lang w:val="en-US" w:eastAsia="zh-CN"/>
        </w:rPr>
        <w:t>1.</w:t>
      </w:r>
      <w:r>
        <w:rPr>
          <w:rFonts w:hint="eastAsia"/>
          <w:lang w:eastAsia="zh-CN"/>
        </w:rPr>
        <w:t>我公司</w:t>
      </w:r>
      <w:r>
        <w:rPr>
          <w:rFonts w:hint="eastAsia"/>
        </w:rPr>
        <w:t>提供的相关服务不会构成对任何第三方的专利、版权、商标权、商业秘密等知识产权或其他财产权利的侵犯；</w:t>
      </w:r>
      <w:r>
        <w:rPr>
          <w:rFonts w:hint="eastAsia"/>
          <w:lang w:eastAsia="zh-CN"/>
        </w:rPr>
        <w:t>我公司</w:t>
      </w:r>
      <w:r>
        <w:rPr>
          <w:rFonts w:hint="eastAsia"/>
        </w:rPr>
        <w:t>对服务期间知悉的涉及采购人发展战略、经营决策、企业管理、商业机密等内容进行严格保密；如有上述情况发生，责任由</w:t>
      </w:r>
      <w:r>
        <w:rPr>
          <w:rFonts w:hint="eastAsia"/>
          <w:lang w:eastAsia="zh-CN"/>
        </w:rPr>
        <w:t>我公司</w:t>
      </w:r>
      <w:r>
        <w:rPr>
          <w:rFonts w:hint="eastAsia"/>
        </w:rPr>
        <w:t>承担。</w:t>
      </w:r>
    </w:p>
    <w:p w14:paraId="012FFD5C">
      <w:pPr>
        <w:bidi w:val="0"/>
        <w:spacing w:line="360" w:lineRule="auto"/>
        <w:ind w:left="0" w:leftChars="0" w:firstLine="420" w:firstLineChars="200"/>
        <w:jc w:val="left"/>
        <w:rPr>
          <w:rFonts w:hint="eastAsia"/>
        </w:rPr>
      </w:pPr>
      <w:r>
        <w:rPr>
          <w:rFonts w:hint="eastAsia"/>
        </w:rPr>
        <w:t>2.</w:t>
      </w:r>
      <w:r>
        <w:rPr>
          <w:rFonts w:hint="eastAsia"/>
          <w:lang w:eastAsia="zh-CN"/>
        </w:rPr>
        <w:t>我公司</w:t>
      </w:r>
      <w:r>
        <w:rPr>
          <w:rFonts w:hint="eastAsia"/>
        </w:rPr>
        <w:t>不属于与采购人存在利害关系可能影响采购公正性的法人、其他组织或者个人。</w:t>
      </w:r>
    </w:p>
    <w:p w14:paraId="4B2148CB">
      <w:pPr>
        <w:bidi w:val="0"/>
        <w:spacing w:line="360" w:lineRule="auto"/>
        <w:ind w:left="0" w:leftChars="0" w:firstLine="420" w:firstLineChars="200"/>
        <w:jc w:val="left"/>
        <w:rPr>
          <w:rFonts w:hint="default"/>
          <w:lang w:val="en-US" w:eastAsia="zh-CN"/>
        </w:rPr>
      </w:pPr>
      <w:r>
        <w:rPr>
          <w:rFonts w:hint="eastAsia"/>
          <w:lang w:val="en-US" w:eastAsia="zh-CN"/>
        </w:rPr>
        <w:t>3.我公司</w:t>
      </w:r>
      <w:r>
        <w:rPr>
          <w:rFonts w:hint="eastAsia"/>
        </w:rPr>
        <w:t>并确认</w:t>
      </w:r>
      <w:r>
        <w:rPr>
          <w:rFonts w:hint="eastAsia"/>
          <w:u w:val="single"/>
        </w:rPr>
        <w:t xml:space="preserve"> </w:t>
      </w:r>
      <w:r>
        <w:rPr>
          <w:rFonts w:hint="eastAsia"/>
          <w:u w:val="single"/>
          <w:lang w:val="en-US" w:eastAsia="zh-CN"/>
        </w:rPr>
        <w:t xml:space="preserve">        </w:t>
      </w:r>
      <w:r>
        <w:rPr>
          <w:rFonts w:hint="eastAsia"/>
        </w:rPr>
        <w:t>（参加/不参加）本次</w:t>
      </w:r>
      <w:r>
        <w:rPr>
          <w:rFonts w:hint="eastAsia"/>
          <w:lang w:val="en-US" w:eastAsia="zh-CN"/>
        </w:rPr>
        <w:t>采购</w:t>
      </w:r>
      <w:r>
        <w:rPr>
          <w:rFonts w:hint="eastAsia"/>
        </w:rPr>
        <w:t>。</w:t>
      </w:r>
    </w:p>
    <w:p w14:paraId="45E182CE">
      <w:pPr>
        <w:bidi w:val="0"/>
        <w:spacing w:line="360" w:lineRule="auto"/>
        <w:ind w:left="0" w:leftChars="0" w:firstLine="420" w:firstLineChars="200"/>
        <w:jc w:val="left"/>
        <w:rPr>
          <w:rFonts w:hint="eastAsia"/>
        </w:rPr>
      </w:pPr>
      <w:r>
        <w:rPr>
          <w:rFonts w:hint="eastAsia"/>
        </w:rPr>
        <w:t>联系人：</w:t>
      </w:r>
    </w:p>
    <w:p w14:paraId="58CA3908">
      <w:pPr>
        <w:bidi w:val="0"/>
        <w:spacing w:line="360" w:lineRule="auto"/>
        <w:ind w:left="0" w:leftChars="0" w:firstLine="420" w:firstLineChars="200"/>
        <w:jc w:val="left"/>
        <w:rPr>
          <w:rFonts w:hint="default"/>
          <w:lang w:val="en-US" w:eastAsia="zh-CN"/>
        </w:rPr>
      </w:pPr>
      <w:r>
        <w:rPr>
          <w:rFonts w:hint="eastAsia"/>
          <w:lang w:val="en-US" w:eastAsia="zh-CN"/>
        </w:rPr>
        <w:t>联系人电话：</w:t>
      </w:r>
    </w:p>
    <w:p w14:paraId="4DC63E5F">
      <w:pPr>
        <w:bidi w:val="0"/>
        <w:spacing w:line="360" w:lineRule="auto"/>
        <w:ind w:left="0" w:leftChars="0" w:firstLine="420" w:firstLineChars="200"/>
        <w:jc w:val="left"/>
        <w:rPr>
          <w:rFonts w:hint="eastAsia"/>
        </w:rPr>
      </w:pPr>
      <w:r>
        <w:rPr>
          <w:rFonts w:hint="eastAsia"/>
          <w:lang w:val="en-US" w:eastAsia="zh-CN"/>
        </w:rPr>
        <w:t>电子</w:t>
      </w:r>
      <w:r>
        <w:rPr>
          <w:rFonts w:hint="eastAsia"/>
        </w:rPr>
        <w:t>邮箱：</w:t>
      </w:r>
    </w:p>
    <w:p w14:paraId="4E160A6F">
      <w:pPr>
        <w:pStyle w:val="19"/>
        <w:spacing w:before="2" w:line="360" w:lineRule="auto"/>
        <w:ind w:left="822"/>
        <w:jc w:val="left"/>
        <w:rPr>
          <w:rFonts w:hint="eastAsia" w:hAnsi="宋体" w:cs="宋体"/>
          <w:color w:val="auto"/>
          <w:sz w:val="21"/>
          <w:szCs w:val="21"/>
        </w:rPr>
      </w:pPr>
      <w:r>
        <w:rPr>
          <w:rFonts w:hint="eastAsia" w:hAnsi="宋体" w:cs="宋体"/>
          <w:color w:val="auto"/>
          <w:sz w:val="21"/>
          <w:szCs w:val="21"/>
        </w:rPr>
        <w:t>特此确认。</w:t>
      </w:r>
    </w:p>
    <w:p w14:paraId="3A33DB6F">
      <w:pPr>
        <w:pStyle w:val="19"/>
        <w:spacing w:before="9" w:line="360" w:lineRule="auto"/>
        <w:jc w:val="left"/>
        <w:rPr>
          <w:rFonts w:hint="eastAsia" w:hAnsi="宋体" w:cs="宋体"/>
          <w:color w:val="auto"/>
          <w:sz w:val="21"/>
          <w:szCs w:val="21"/>
        </w:rPr>
      </w:pPr>
    </w:p>
    <w:p w14:paraId="32689E3B">
      <w:pPr>
        <w:pStyle w:val="19"/>
        <w:tabs>
          <w:tab w:val="left" w:pos="7538"/>
        </w:tabs>
        <w:spacing w:line="360" w:lineRule="auto"/>
        <w:ind w:left="3341"/>
        <w:jc w:val="left"/>
        <w:rPr>
          <w:rFonts w:hint="eastAsia" w:hAnsi="宋体" w:cs="宋体"/>
          <w:color w:val="auto"/>
          <w:sz w:val="21"/>
          <w:szCs w:val="21"/>
        </w:rPr>
      </w:pPr>
      <w:r>
        <w:rPr>
          <w:rFonts w:hint="eastAsia" w:hAnsi="宋体" w:cs="宋体"/>
          <w:color w:val="auto"/>
          <w:sz w:val="21"/>
          <w:szCs w:val="21"/>
          <w:lang w:val="en-US" w:eastAsia="zh-CN"/>
        </w:rPr>
        <w:t>公司</w:t>
      </w:r>
      <w:r>
        <w:rPr>
          <w:rFonts w:hint="eastAsia" w:hAnsi="宋体" w:cs="宋体"/>
          <w:color w:val="auto"/>
          <w:sz w:val="21"/>
          <w:szCs w:val="21"/>
        </w:rPr>
        <w:t>名</w:t>
      </w:r>
      <w:r>
        <w:rPr>
          <w:rFonts w:hint="eastAsia" w:hAnsi="宋体" w:cs="宋体"/>
          <w:color w:val="auto"/>
          <w:spacing w:val="-3"/>
          <w:sz w:val="21"/>
          <w:szCs w:val="21"/>
        </w:rPr>
        <w:t>称</w:t>
      </w:r>
      <w:r>
        <w:rPr>
          <w:rFonts w:hint="eastAsia" w:hAnsi="宋体" w:cs="宋体"/>
          <w:color w:val="auto"/>
          <w:sz w:val="21"/>
          <w:szCs w:val="21"/>
        </w:rPr>
        <w:t>：</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（盖</w:t>
      </w:r>
      <w:r>
        <w:rPr>
          <w:rFonts w:hint="eastAsia" w:hAnsi="宋体" w:cs="宋体"/>
          <w:color w:val="auto"/>
          <w:sz w:val="21"/>
          <w:szCs w:val="21"/>
          <w:lang w:val="en-US" w:eastAsia="zh-CN"/>
        </w:rPr>
        <w:t>公</w:t>
      </w:r>
      <w:r>
        <w:rPr>
          <w:rFonts w:hint="eastAsia" w:hAnsi="宋体" w:cs="宋体"/>
          <w:color w:val="auto"/>
          <w:sz w:val="21"/>
          <w:szCs w:val="21"/>
        </w:rPr>
        <w:t>章）</w:t>
      </w:r>
    </w:p>
    <w:p w14:paraId="6A5177F3">
      <w:pPr>
        <w:spacing w:line="360" w:lineRule="auto"/>
        <w:ind w:left="2940" w:leftChars="0" w:firstLine="420" w:firstLineChars="0"/>
        <w:rPr>
          <w:rFonts w:hint="eastAsia" w:hAnsi="宋体" w:cs="宋体"/>
          <w:color w:val="auto"/>
          <w:spacing w:val="-3"/>
          <w:sz w:val="21"/>
          <w:szCs w:val="21"/>
          <w:u w:val="single"/>
          <w:lang w:val="en-US" w:eastAsia="zh-CN"/>
        </w:rPr>
      </w:pPr>
      <w:r>
        <w:rPr>
          <w:rFonts w:hint="eastAsia" w:hAnsi="宋体" w:cs="宋体"/>
          <w:color w:val="auto"/>
          <w:sz w:val="21"/>
          <w:szCs w:val="21"/>
        </w:rPr>
        <w:t>日期：</w:t>
      </w:r>
      <w:r>
        <w:rPr>
          <w:rFonts w:hint="eastAsia" w:hAnsi="宋体" w:cs="宋体"/>
          <w:color w:val="auto"/>
          <w:sz w:val="21"/>
          <w:szCs w:val="21"/>
          <w:u w:val="single"/>
        </w:rPr>
        <w:t xml:space="preserve">     </w:t>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pacing w:val="-3"/>
          <w:sz w:val="21"/>
          <w:szCs w:val="21"/>
        </w:rPr>
        <w:t>月</w:t>
      </w:r>
      <w:r>
        <w:rPr>
          <w:rFonts w:hint="eastAsia" w:hAnsi="宋体" w:cs="宋体"/>
          <w:color w:val="auto"/>
          <w:spacing w:val="-3"/>
          <w:sz w:val="21"/>
          <w:szCs w:val="21"/>
          <w:u w:val="single"/>
        </w:rPr>
        <w:t xml:space="preserve">    </w:t>
      </w:r>
      <w:r>
        <w:rPr>
          <w:rFonts w:hint="eastAsia" w:hAnsi="宋体" w:cs="宋体"/>
          <w:color w:val="auto"/>
          <w:spacing w:val="-3"/>
          <w:sz w:val="21"/>
          <w:szCs w:val="21"/>
          <w:u w:val="single"/>
          <w:lang w:val="en-US" w:eastAsia="zh-CN"/>
        </w:rPr>
        <w:t>日</w:t>
      </w:r>
    </w:p>
    <w:p w14:paraId="2C5CF127">
      <w:pPr>
        <w:pStyle w:val="2"/>
        <w:spacing w:line="360" w:lineRule="auto"/>
        <w:jc w:val="center"/>
        <w:rPr>
          <w:rFonts w:hint="eastAsia" w:ascii="宋体" w:hAnsi="宋体" w:eastAsia="宋体" w:cs="宋体"/>
          <w:b/>
          <w:bCs/>
          <w:color w:val="auto"/>
          <w:sz w:val="32"/>
        </w:rPr>
      </w:pPr>
      <w:r>
        <w:rPr>
          <w:rFonts w:hint="eastAsia" w:hAnsi="宋体" w:cs="宋体"/>
          <w:color w:val="auto"/>
          <w:spacing w:val="-3"/>
          <w:sz w:val="21"/>
          <w:szCs w:val="21"/>
          <w:u w:val="single"/>
          <w:lang w:val="en-US" w:eastAsia="zh-CN"/>
        </w:rPr>
        <w:br w:type="page"/>
      </w:r>
      <w:r>
        <w:rPr>
          <w:rFonts w:hint="eastAsia" w:ascii="宋体" w:hAnsi="宋体" w:eastAsia="宋体" w:cs="宋体"/>
          <w:b/>
          <w:bCs/>
          <w:color w:val="auto"/>
          <w:sz w:val="32"/>
        </w:rPr>
        <w:t>第二章  供应商须知</w:t>
      </w:r>
      <w:bookmarkEnd w:id="13"/>
      <w:bookmarkEnd w:id="14"/>
      <w:bookmarkEnd w:id="15"/>
      <w:bookmarkEnd w:id="16"/>
      <w:bookmarkEnd w:id="17"/>
      <w:bookmarkEnd w:id="18"/>
      <w:bookmarkEnd w:id="19"/>
      <w:bookmarkEnd w:id="20"/>
      <w:bookmarkEnd w:id="21"/>
      <w:bookmarkEnd w:id="22"/>
      <w:bookmarkEnd w:id="23"/>
      <w:bookmarkEnd w:id="24"/>
      <w:bookmarkEnd w:id="25"/>
    </w:p>
    <w:p w14:paraId="3C1D114C">
      <w:pPr>
        <w:pStyle w:val="3"/>
        <w:spacing w:before="0"/>
        <w:rPr>
          <w:rFonts w:hint="eastAsia" w:ascii="宋体" w:hAnsi="宋体" w:cs="宋体"/>
          <w:szCs w:val="28"/>
        </w:rPr>
      </w:pPr>
      <w:bookmarkStart w:id="75" w:name="_Toc22587"/>
      <w:bookmarkStart w:id="76" w:name="_Toc420917821"/>
      <w:bookmarkStart w:id="77" w:name="_Toc17302"/>
      <w:bookmarkStart w:id="78" w:name="_Toc28478"/>
      <w:bookmarkStart w:id="79" w:name="_Toc17051"/>
      <w:bookmarkStart w:id="80" w:name="_Toc11993"/>
      <w:bookmarkStart w:id="81" w:name="_Toc86124039"/>
      <w:bookmarkStart w:id="82" w:name="_Toc19642"/>
      <w:bookmarkStart w:id="83" w:name="_Toc15588"/>
      <w:bookmarkStart w:id="84" w:name="_Toc8251"/>
      <w:bookmarkStart w:id="85" w:name="_Toc12855"/>
      <w:bookmarkStart w:id="86" w:name="_Toc1747"/>
      <w:bookmarkStart w:id="87" w:name="_Toc11706"/>
      <w:bookmarkStart w:id="88" w:name="_Toc9692"/>
      <w:r>
        <w:rPr>
          <w:rFonts w:hint="eastAsia" w:ascii="宋体" w:hAnsi="宋体" w:cs="宋体"/>
          <w:szCs w:val="28"/>
          <w:lang w:val="en-US" w:eastAsia="zh-CN"/>
        </w:rPr>
        <w:t>一、</w:t>
      </w:r>
      <w:r>
        <w:rPr>
          <w:rFonts w:hint="eastAsia" w:ascii="宋体" w:hAnsi="宋体" w:cs="宋体"/>
          <w:szCs w:val="28"/>
        </w:rPr>
        <w:t>供应商须知前附表</w:t>
      </w:r>
      <w:bookmarkEnd w:id="75"/>
      <w:bookmarkEnd w:id="76"/>
      <w:bookmarkEnd w:id="77"/>
      <w:bookmarkEnd w:id="78"/>
      <w:bookmarkEnd w:id="79"/>
      <w:bookmarkEnd w:id="80"/>
      <w:bookmarkEnd w:id="81"/>
      <w:bookmarkEnd w:id="82"/>
      <w:bookmarkEnd w:id="83"/>
      <w:bookmarkEnd w:id="84"/>
      <w:bookmarkEnd w:id="85"/>
      <w:bookmarkEnd w:id="86"/>
      <w:bookmarkEnd w:id="87"/>
      <w:bookmarkEnd w:id="88"/>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534"/>
        <w:gridCol w:w="1011"/>
        <w:gridCol w:w="5688"/>
      </w:tblGrid>
      <w:tr w14:paraId="5E70E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1260" w:type="dxa"/>
            <w:noWrap w:val="0"/>
            <w:vAlign w:val="center"/>
          </w:tcPr>
          <w:p w14:paraId="640B0353">
            <w:pPr>
              <w:pStyle w:val="24"/>
              <w:spacing w:line="360" w:lineRule="auto"/>
              <w:jc w:val="center"/>
              <w:rPr>
                <w:rFonts w:hint="eastAsia" w:hAnsi="宋体" w:cs="宋体"/>
                <w:b/>
                <w:sz w:val="21"/>
                <w:szCs w:val="21"/>
              </w:rPr>
            </w:pPr>
            <w:r>
              <w:rPr>
                <w:rFonts w:hint="eastAsia" w:hAnsi="宋体" w:cs="宋体"/>
                <w:b/>
                <w:sz w:val="21"/>
                <w:szCs w:val="21"/>
              </w:rPr>
              <w:t>条款号</w:t>
            </w:r>
          </w:p>
        </w:tc>
        <w:tc>
          <w:tcPr>
            <w:tcW w:w="2545" w:type="dxa"/>
            <w:gridSpan w:val="2"/>
            <w:noWrap w:val="0"/>
            <w:vAlign w:val="center"/>
          </w:tcPr>
          <w:p w14:paraId="5AD2E730">
            <w:pPr>
              <w:pStyle w:val="24"/>
              <w:spacing w:line="360" w:lineRule="auto"/>
              <w:jc w:val="center"/>
              <w:rPr>
                <w:rFonts w:hint="eastAsia" w:hAnsi="宋体" w:cs="宋体"/>
                <w:b/>
                <w:sz w:val="21"/>
                <w:szCs w:val="21"/>
              </w:rPr>
            </w:pPr>
            <w:r>
              <w:rPr>
                <w:rFonts w:hint="eastAsia" w:hAnsi="宋体" w:cs="宋体"/>
                <w:b/>
                <w:sz w:val="21"/>
                <w:szCs w:val="21"/>
              </w:rPr>
              <w:t>条 款 名 称</w:t>
            </w:r>
          </w:p>
        </w:tc>
        <w:tc>
          <w:tcPr>
            <w:tcW w:w="5688" w:type="dxa"/>
            <w:noWrap w:val="0"/>
            <w:vAlign w:val="center"/>
          </w:tcPr>
          <w:p w14:paraId="1AEC7574">
            <w:pPr>
              <w:pStyle w:val="24"/>
              <w:spacing w:line="360" w:lineRule="auto"/>
              <w:jc w:val="center"/>
              <w:rPr>
                <w:rFonts w:hint="eastAsia" w:hAnsi="宋体" w:cs="宋体"/>
                <w:b/>
                <w:sz w:val="21"/>
                <w:szCs w:val="21"/>
              </w:rPr>
            </w:pPr>
            <w:r>
              <w:rPr>
                <w:rFonts w:hint="eastAsia" w:hAnsi="宋体" w:cs="宋体"/>
                <w:b/>
                <w:sz w:val="21"/>
                <w:szCs w:val="21"/>
              </w:rPr>
              <w:t>编 列 内 容</w:t>
            </w:r>
          </w:p>
        </w:tc>
      </w:tr>
      <w:tr w14:paraId="22896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restart"/>
            <w:noWrap w:val="0"/>
            <w:vAlign w:val="center"/>
          </w:tcPr>
          <w:p w14:paraId="0BDEC906">
            <w:pPr>
              <w:pStyle w:val="24"/>
              <w:spacing w:line="360" w:lineRule="auto"/>
              <w:jc w:val="center"/>
              <w:rPr>
                <w:rFonts w:hint="eastAsia" w:hAnsi="宋体" w:cs="宋体"/>
                <w:sz w:val="21"/>
                <w:szCs w:val="21"/>
              </w:rPr>
            </w:pPr>
            <w:r>
              <w:rPr>
                <w:rFonts w:hint="eastAsia" w:hAnsi="宋体" w:cs="宋体"/>
                <w:sz w:val="21"/>
                <w:szCs w:val="21"/>
              </w:rPr>
              <w:t>1.2</w:t>
            </w:r>
          </w:p>
        </w:tc>
        <w:tc>
          <w:tcPr>
            <w:tcW w:w="2545" w:type="dxa"/>
            <w:gridSpan w:val="2"/>
            <w:noWrap w:val="0"/>
            <w:vAlign w:val="center"/>
          </w:tcPr>
          <w:p w14:paraId="79570904">
            <w:pPr>
              <w:pStyle w:val="24"/>
              <w:spacing w:line="360" w:lineRule="auto"/>
              <w:rPr>
                <w:rFonts w:hint="eastAsia" w:hAnsi="宋体" w:cs="宋体"/>
                <w:sz w:val="21"/>
                <w:szCs w:val="21"/>
                <w:u w:val="single"/>
              </w:rPr>
            </w:pPr>
            <w:r>
              <w:rPr>
                <w:rFonts w:hint="eastAsia" w:hAnsi="宋体" w:cs="宋体"/>
                <w:bCs/>
                <w:sz w:val="21"/>
                <w:szCs w:val="21"/>
              </w:rPr>
              <w:t>采购人</w:t>
            </w:r>
          </w:p>
        </w:tc>
        <w:tc>
          <w:tcPr>
            <w:tcW w:w="5688" w:type="dxa"/>
            <w:noWrap w:val="0"/>
            <w:vAlign w:val="center"/>
          </w:tcPr>
          <w:p w14:paraId="305A531B">
            <w:pPr>
              <w:pStyle w:val="24"/>
              <w:spacing w:line="360" w:lineRule="auto"/>
              <w:rPr>
                <w:rFonts w:hint="eastAsia" w:hAnsi="宋体" w:eastAsia="宋体" w:cs="宋体"/>
                <w:sz w:val="21"/>
                <w:szCs w:val="21"/>
                <w:lang w:eastAsia="zh-CN"/>
              </w:rPr>
            </w:pPr>
            <w:r>
              <w:rPr>
                <w:rFonts w:hint="eastAsia" w:hAnsi="宋体" w:eastAsia="宋体" w:cs="宋体"/>
                <w:sz w:val="21"/>
                <w:szCs w:val="21"/>
                <w:lang w:val="en-US" w:eastAsia="zh-CN"/>
              </w:rPr>
              <w:t>云南解化清洁能源开发有限公司解化化工分公司</w:t>
            </w:r>
          </w:p>
        </w:tc>
      </w:tr>
      <w:tr w14:paraId="5A256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continue"/>
            <w:noWrap w:val="0"/>
            <w:vAlign w:val="center"/>
          </w:tcPr>
          <w:p w14:paraId="51819EAA">
            <w:pPr>
              <w:spacing w:line="360" w:lineRule="auto"/>
              <w:rPr>
                <w:rFonts w:hint="eastAsia" w:ascii="宋体" w:hAnsi="宋体" w:cs="宋体"/>
                <w:szCs w:val="21"/>
              </w:rPr>
            </w:pPr>
          </w:p>
        </w:tc>
        <w:tc>
          <w:tcPr>
            <w:tcW w:w="2545" w:type="dxa"/>
            <w:gridSpan w:val="2"/>
            <w:noWrap w:val="0"/>
            <w:vAlign w:val="center"/>
          </w:tcPr>
          <w:p w14:paraId="7DD91782">
            <w:pPr>
              <w:pStyle w:val="24"/>
              <w:spacing w:line="360" w:lineRule="auto"/>
              <w:rPr>
                <w:rFonts w:hint="eastAsia" w:hAnsi="宋体" w:cs="宋体"/>
                <w:sz w:val="21"/>
                <w:szCs w:val="21"/>
              </w:rPr>
            </w:pPr>
            <w:r>
              <w:rPr>
                <w:rFonts w:hint="eastAsia" w:hAnsi="宋体" w:cs="宋体"/>
                <w:sz w:val="21"/>
                <w:szCs w:val="21"/>
              </w:rPr>
              <w:t>项目名称</w:t>
            </w:r>
          </w:p>
        </w:tc>
        <w:tc>
          <w:tcPr>
            <w:tcW w:w="5688" w:type="dxa"/>
            <w:noWrap w:val="0"/>
            <w:vAlign w:val="center"/>
          </w:tcPr>
          <w:p w14:paraId="52152CD4">
            <w:pPr>
              <w:pStyle w:val="24"/>
              <w:spacing w:line="360" w:lineRule="auto"/>
              <w:rPr>
                <w:rFonts w:hint="default" w:hAnsi="宋体" w:cs="宋体"/>
                <w:sz w:val="21"/>
                <w:szCs w:val="21"/>
                <w:lang w:val="en-US"/>
              </w:rPr>
            </w:pPr>
            <w:r>
              <w:rPr>
                <w:rFonts w:hint="eastAsia" w:ascii="宋体" w:hAnsi="宋体" w:eastAsia="宋体" w:cs="宋体"/>
                <w:sz w:val="21"/>
                <w:szCs w:val="21"/>
                <w:lang w:eastAsia="zh-CN"/>
              </w:rPr>
              <w:t>云南解化清洁能源开发有限公司解化化工分公司2026-2027年二甲醚厂煤气化辅助岗位等劳务外包项目</w:t>
            </w:r>
          </w:p>
        </w:tc>
      </w:tr>
      <w:tr w14:paraId="0F05B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260" w:type="dxa"/>
            <w:vMerge w:val="continue"/>
            <w:noWrap w:val="0"/>
            <w:vAlign w:val="center"/>
          </w:tcPr>
          <w:p w14:paraId="7EA50875">
            <w:pPr>
              <w:spacing w:line="360" w:lineRule="auto"/>
              <w:rPr>
                <w:rFonts w:hint="eastAsia" w:ascii="宋体" w:hAnsi="宋体" w:cs="宋体"/>
                <w:szCs w:val="21"/>
              </w:rPr>
            </w:pPr>
          </w:p>
        </w:tc>
        <w:tc>
          <w:tcPr>
            <w:tcW w:w="2545" w:type="dxa"/>
            <w:gridSpan w:val="2"/>
            <w:noWrap w:val="0"/>
            <w:vAlign w:val="center"/>
          </w:tcPr>
          <w:p w14:paraId="48A6A3E2">
            <w:pPr>
              <w:pStyle w:val="24"/>
              <w:spacing w:line="360" w:lineRule="auto"/>
              <w:rPr>
                <w:rFonts w:hint="eastAsia" w:hAnsi="宋体" w:eastAsia="宋体" w:cs="宋体"/>
                <w:sz w:val="21"/>
                <w:szCs w:val="21"/>
                <w:lang w:val="en-US" w:eastAsia="zh-CN"/>
              </w:rPr>
            </w:pPr>
            <w:r>
              <w:rPr>
                <w:rFonts w:hint="eastAsia" w:hAnsi="宋体" w:cs="宋体"/>
                <w:sz w:val="21"/>
                <w:szCs w:val="21"/>
                <w:lang w:val="en-US" w:eastAsia="zh-CN"/>
              </w:rPr>
              <w:t>项目编号</w:t>
            </w:r>
          </w:p>
        </w:tc>
        <w:tc>
          <w:tcPr>
            <w:tcW w:w="5688" w:type="dxa"/>
            <w:noWrap w:val="0"/>
            <w:vAlign w:val="center"/>
          </w:tcPr>
          <w:p w14:paraId="42D48AF6">
            <w:pPr>
              <w:pStyle w:val="24"/>
              <w:spacing w:line="360" w:lineRule="auto"/>
              <w:rPr>
                <w:rFonts w:hint="eastAsia" w:hAnsi="宋体" w:eastAsia="宋体" w:cs="宋体"/>
                <w:sz w:val="21"/>
                <w:szCs w:val="21"/>
                <w:lang w:val="en-US" w:eastAsia="zh-CN"/>
              </w:rPr>
            </w:pPr>
            <w:r>
              <w:rPr>
                <w:rFonts w:hint="eastAsia" w:hAnsi="宋体" w:cs="宋体"/>
                <w:sz w:val="21"/>
                <w:szCs w:val="21"/>
                <w:lang w:val="en-US" w:eastAsia="zh-CN"/>
              </w:rPr>
              <w:t xml:space="preserve"> </w:t>
            </w:r>
            <w:r>
              <w:rPr>
                <w:rFonts w:hint="eastAsia" w:hAnsi="宋体" w:eastAsia="宋体" w:cs="宋体"/>
                <w:sz w:val="24"/>
                <w:szCs w:val="24"/>
                <w:lang w:eastAsia="zh-CN"/>
              </w:rPr>
              <w:t>/</w:t>
            </w:r>
          </w:p>
        </w:tc>
      </w:tr>
      <w:tr w14:paraId="1BD0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58174600">
            <w:pPr>
              <w:pStyle w:val="24"/>
              <w:spacing w:line="360" w:lineRule="auto"/>
              <w:jc w:val="center"/>
              <w:rPr>
                <w:rFonts w:hint="eastAsia" w:hAnsi="宋体" w:cs="宋体"/>
                <w:sz w:val="21"/>
                <w:szCs w:val="21"/>
              </w:rPr>
            </w:pPr>
            <w:r>
              <w:rPr>
                <w:rFonts w:hint="eastAsia" w:hAnsi="宋体" w:cs="宋体"/>
                <w:sz w:val="21"/>
                <w:szCs w:val="21"/>
              </w:rPr>
              <w:t>2.1</w:t>
            </w:r>
          </w:p>
        </w:tc>
        <w:tc>
          <w:tcPr>
            <w:tcW w:w="2545" w:type="dxa"/>
            <w:gridSpan w:val="2"/>
            <w:noWrap w:val="0"/>
            <w:vAlign w:val="center"/>
          </w:tcPr>
          <w:p w14:paraId="6D3EAF3F">
            <w:pPr>
              <w:pStyle w:val="24"/>
              <w:spacing w:line="360" w:lineRule="auto"/>
              <w:rPr>
                <w:rFonts w:hint="eastAsia" w:hAnsi="宋体" w:cs="宋体"/>
                <w:sz w:val="21"/>
                <w:szCs w:val="21"/>
              </w:rPr>
            </w:pPr>
            <w:r>
              <w:rPr>
                <w:rFonts w:hint="eastAsia" w:hAnsi="宋体" w:cs="宋体"/>
                <w:sz w:val="21"/>
                <w:szCs w:val="21"/>
              </w:rPr>
              <w:t>资金来源</w:t>
            </w:r>
          </w:p>
        </w:tc>
        <w:tc>
          <w:tcPr>
            <w:tcW w:w="5688" w:type="dxa"/>
            <w:noWrap w:val="0"/>
            <w:vAlign w:val="center"/>
          </w:tcPr>
          <w:p w14:paraId="620C0661">
            <w:pPr>
              <w:pStyle w:val="24"/>
              <w:spacing w:line="360" w:lineRule="auto"/>
              <w:rPr>
                <w:rFonts w:hint="eastAsia" w:hAnsi="宋体" w:cs="宋体"/>
                <w:sz w:val="21"/>
                <w:szCs w:val="21"/>
              </w:rPr>
            </w:pPr>
            <w:r>
              <w:rPr>
                <w:rFonts w:hint="eastAsia" w:hAnsi="宋体" w:cs="宋体"/>
                <w:sz w:val="21"/>
                <w:szCs w:val="21"/>
              </w:rPr>
              <w:t>企业自筹</w:t>
            </w:r>
          </w:p>
        </w:tc>
      </w:tr>
      <w:tr w14:paraId="5FA22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936CD39">
            <w:pPr>
              <w:pStyle w:val="24"/>
              <w:spacing w:line="360" w:lineRule="auto"/>
              <w:jc w:val="center"/>
              <w:rPr>
                <w:rFonts w:hint="eastAsia" w:hAnsi="宋体" w:cs="宋体"/>
                <w:sz w:val="21"/>
                <w:szCs w:val="21"/>
              </w:rPr>
            </w:pPr>
            <w:r>
              <w:rPr>
                <w:rFonts w:hint="eastAsia" w:hAnsi="宋体" w:cs="宋体"/>
                <w:sz w:val="21"/>
                <w:szCs w:val="21"/>
              </w:rPr>
              <w:t>3.1</w:t>
            </w:r>
          </w:p>
        </w:tc>
        <w:tc>
          <w:tcPr>
            <w:tcW w:w="2545" w:type="dxa"/>
            <w:gridSpan w:val="2"/>
            <w:noWrap w:val="0"/>
            <w:vAlign w:val="center"/>
          </w:tcPr>
          <w:p w14:paraId="142BDAF2">
            <w:pPr>
              <w:pStyle w:val="24"/>
              <w:spacing w:line="360" w:lineRule="auto"/>
              <w:rPr>
                <w:rFonts w:hint="eastAsia" w:hAnsi="宋体" w:eastAsia="宋体" w:cs="宋体"/>
                <w:sz w:val="21"/>
                <w:szCs w:val="21"/>
                <w:lang w:eastAsia="zh-CN"/>
              </w:rPr>
            </w:pPr>
            <w:r>
              <w:rPr>
                <w:rFonts w:hint="eastAsia" w:hAnsi="宋体" w:cs="宋体"/>
                <w:sz w:val="21"/>
                <w:szCs w:val="21"/>
                <w:lang w:val="en-US" w:eastAsia="zh-CN"/>
              </w:rPr>
              <w:t>项目内容</w:t>
            </w:r>
          </w:p>
        </w:tc>
        <w:tc>
          <w:tcPr>
            <w:tcW w:w="5688" w:type="dxa"/>
            <w:noWrap w:val="0"/>
            <w:vAlign w:val="center"/>
          </w:tcPr>
          <w:p w14:paraId="6A65C994">
            <w:pPr>
              <w:pStyle w:val="24"/>
              <w:spacing w:line="360" w:lineRule="auto"/>
              <w:rPr>
                <w:rFonts w:hint="eastAsia" w:hAnsi="宋体" w:cs="宋体"/>
                <w:sz w:val="21"/>
                <w:szCs w:val="21"/>
              </w:rPr>
            </w:pPr>
            <w:r>
              <w:rPr>
                <w:rFonts w:hint="eastAsia" w:hAnsi="宋体" w:cs="宋体"/>
                <w:sz w:val="21"/>
                <w:szCs w:val="21"/>
              </w:rPr>
              <w:t>具体详见第五章“</w:t>
            </w:r>
            <w:r>
              <w:rPr>
                <w:rFonts w:hint="eastAsia" w:hAnsi="宋体" w:cs="宋体"/>
                <w:sz w:val="21"/>
                <w:szCs w:val="21"/>
                <w:lang w:eastAsia="zh-CN"/>
              </w:rPr>
              <w:t>采购人需求</w:t>
            </w:r>
            <w:r>
              <w:rPr>
                <w:rFonts w:hint="eastAsia" w:hAnsi="宋体" w:cs="宋体"/>
                <w:sz w:val="21"/>
                <w:szCs w:val="21"/>
              </w:rPr>
              <w:t>”</w:t>
            </w:r>
          </w:p>
        </w:tc>
      </w:tr>
      <w:tr w14:paraId="5A28E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362CCB01">
            <w:pPr>
              <w:pStyle w:val="24"/>
              <w:spacing w:line="360" w:lineRule="auto"/>
              <w:jc w:val="center"/>
              <w:rPr>
                <w:rFonts w:hint="eastAsia" w:hAnsi="宋体" w:cs="宋体"/>
                <w:sz w:val="21"/>
                <w:szCs w:val="21"/>
              </w:rPr>
            </w:pPr>
            <w:r>
              <w:rPr>
                <w:rFonts w:hint="eastAsia" w:hAnsi="宋体" w:cs="宋体"/>
                <w:sz w:val="21"/>
                <w:szCs w:val="21"/>
              </w:rPr>
              <w:t>3.2</w:t>
            </w:r>
          </w:p>
        </w:tc>
        <w:tc>
          <w:tcPr>
            <w:tcW w:w="2545" w:type="dxa"/>
            <w:gridSpan w:val="2"/>
            <w:noWrap w:val="0"/>
            <w:vAlign w:val="center"/>
          </w:tcPr>
          <w:p w14:paraId="447185A7">
            <w:pPr>
              <w:pStyle w:val="24"/>
              <w:spacing w:line="360" w:lineRule="auto"/>
              <w:rPr>
                <w:rFonts w:hint="eastAsia" w:hAnsi="宋体" w:cs="宋体"/>
                <w:sz w:val="21"/>
                <w:szCs w:val="21"/>
              </w:rPr>
            </w:pPr>
            <w:r>
              <w:rPr>
                <w:rFonts w:hint="eastAsia" w:hAnsi="宋体" w:cs="宋体"/>
                <w:sz w:val="21"/>
                <w:szCs w:val="21"/>
              </w:rPr>
              <w:t>★</w:t>
            </w:r>
            <w:r>
              <w:rPr>
                <w:rFonts w:hint="eastAsia" w:ascii="宋体" w:hAnsi="宋体" w:eastAsia="宋体" w:cs="宋体"/>
                <w:color w:val="000000"/>
                <w:sz w:val="21"/>
                <w:szCs w:val="21"/>
                <w:lang w:val="en-US" w:eastAsia="zh-CN"/>
              </w:rPr>
              <w:t>服务期限</w:t>
            </w:r>
            <w:r>
              <w:rPr>
                <w:rFonts w:hint="eastAsia" w:hAnsi="宋体" w:cs="宋体"/>
                <w:sz w:val="21"/>
                <w:szCs w:val="21"/>
              </w:rPr>
              <w:t>、</w:t>
            </w:r>
            <w:r>
              <w:rPr>
                <w:rFonts w:hint="eastAsia" w:ascii="宋体" w:hAnsi="宋体" w:eastAsia="宋体" w:cs="宋体"/>
                <w:b w:val="0"/>
                <w:bCs/>
                <w:sz w:val="21"/>
                <w:szCs w:val="21"/>
                <w:lang w:val="en-US" w:eastAsia="zh-CN"/>
              </w:rPr>
              <w:t>服务及交付地点</w:t>
            </w:r>
          </w:p>
        </w:tc>
        <w:tc>
          <w:tcPr>
            <w:tcW w:w="5688" w:type="dxa"/>
            <w:noWrap w:val="0"/>
            <w:vAlign w:val="center"/>
          </w:tcPr>
          <w:p w14:paraId="250336E0">
            <w:pPr>
              <w:pStyle w:val="24"/>
              <w:spacing w:line="360" w:lineRule="auto"/>
              <w:rPr>
                <w:rFonts w:hint="eastAsia" w:hAnsi="宋体" w:cs="宋体"/>
                <w:sz w:val="21"/>
                <w:szCs w:val="21"/>
              </w:rPr>
            </w:pPr>
            <w:r>
              <w:rPr>
                <w:rFonts w:hint="eastAsia" w:hAnsi="宋体" w:cs="宋体"/>
                <w:sz w:val="21"/>
                <w:szCs w:val="21"/>
              </w:rPr>
              <w:t>详见第一</w:t>
            </w:r>
            <w:r>
              <w:rPr>
                <w:rFonts w:hint="eastAsia" w:ascii="宋体" w:hAnsi="宋体" w:eastAsia="宋体" w:cs="宋体"/>
                <w:sz w:val="21"/>
                <w:szCs w:val="21"/>
              </w:rPr>
              <w:t>章“</w:t>
            </w:r>
            <w:r>
              <w:rPr>
                <w:rFonts w:hint="eastAsia" w:ascii="宋体" w:hAnsi="宋体" w:eastAsia="宋体" w:cs="宋体"/>
                <w:sz w:val="21"/>
                <w:szCs w:val="21"/>
                <w:lang w:val="en-US" w:eastAsia="zh-CN"/>
              </w:rPr>
              <w:t>竞争性谈判公告</w:t>
            </w:r>
            <w:r>
              <w:rPr>
                <w:rFonts w:hint="eastAsia" w:hAnsi="宋体" w:cs="宋体"/>
                <w:sz w:val="21"/>
                <w:szCs w:val="21"/>
              </w:rPr>
              <w:t>”</w:t>
            </w:r>
          </w:p>
        </w:tc>
      </w:tr>
      <w:tr w14:paraId="53DAA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5EAD52D">
            <w:pPr>
              <w:pStyle w:val="24"/>
              <w:spacing w:line="360" w:lineRule="auto"/>
              <w:jc w:val="center"/>
              <w:rPr>
                <w:rFonts w:hint="eastAsia" w:hAnsi="宋体" w:cs="宋体"/>
                <w:sz w:val="21"/>
                <w:szCs w:val="21"/>
              </w:rPr>
            </w:pPr>
            <w:r>
              <w:rPr>
                <w:rFonts w:hint="eastAsia" w:hAnsi="宋体" w:cs="宋体"/>
                <w:sz w:val="21"/>
                <w:szCs w:val="21"/>
              </w:rPr>
              <w:t>3.3</w:t>
            </w:r>
          </w:p>
        </w:tc>
        <w:tc>
          <w:tcPr>
            <w:tcW w:w="2545" w:type="dxa"/>
            <w:gridSpan w:val="2"/>
            <w:noWrap w:val="0"/>
            <w:vAlign w:val="center"/>
          </w:tcPr>
          <w:p w14:paraId="69A51725">
            <w:pPr>
              <w:pStyle w:val="24"/>
              <w:spacing w:line="360" w:lineRule="auto"/>
              <w:rPr>
                <w:rFonts w:hint="eastAsia" w:hAnsi="宋体" w:cs="宋体"/>
                <w:sz w:val="21"/>
                <w:szCs w:val="21"/>
              </w:rPr>
            </w:pPr>
            <w:r>
              <w:rPr>
                <w:rFonts w:hint="eastAsia" w:hAnsi="宋体" w:cs="宋体"/>
                <w:sz w:val="21"/>
                <w:szCs w:val="21"/>
              </w:rPr>
              <w:t>★质量要求</w:t>
            </w:r>
          </w:p>
        </w:tc>
        <w:tc>
          <w:tcPr>
            <w:tcW w:w="5688" w:type="dxa"/>
            <w:noWrap w:val="0"/>
            <w:vAlign w:val="center"/>
          </w:tcPr>
          <w:p w14:paraId="23903CF9">
            <w:pPr>
              <w:pStyle w:val="24"/>
              <w:spacing w:line="360" w:lineRule="auto"/>
              <w:rPr>
                <w:rFonts w:hint="eastAsia" w:hAnsi="宋体" w:cs="宋体"/>
                <w:sz w:val="21"/>
                <w:szCs w:val="21"/>
              </w:rPr>
            </w:pPr>
            <w:r>
              <w:rPr>
                <w:rFonts w:hint="eastAsia" w:hAnsi="宋体" w:cs="宋体"/>
                <w:sz w:val="21"/>
                <w:szCs w:val="21"/>
              </w:rPr>
              <w:t>详见第</w:t>
            </w:r>
            <w:r>
              <w:rPr>
                <w:rFonts w:hint="eastAsia" w:ascii="宋体" w:hAnsi="宋体" w:eastAsia="宋体" w:cs="宋体"/>
                <w:sz w:val="21"/>
                <w:szCs w:val="21"/>
              </w:rPr>
              <w:t>一章“</w:t>
            </w:r>
            <w:r>
              <w:rPr>
                <w:rFonts w:hint="eastAsia" w:ascii="宋体" w:hAnsi="宋体" w:eastAsia="宋体" w:cs="宋体"/>
                <w:sz w:val="21"/>
                <w:szCs w:val="21"/>
                <w:lang w:val="en-US" w:eastAsia="zh-CN"/>
              </w:rPr>
              <w:t>竞争性谈判公告</w:t>
            </w:r>
            <w:r>
              <w:rPr>
                <w:rFonts w:hint="eastAsia" w:ascii="宋体" w:hAnsi="宋体" w:eastAsia="宋体" w:cs="宋体"/>
                <w:sz w:val="21"/>
                <w:szCs w:val="21"/>
              </w:rPr>
              <w:t>”</w:t>
            </w:r>
          </w:p>
        </w:tc>
      </w:tr>
      <w:tr w14:paraId="473C5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3F8B5F5A">
            <w:pPr>
              <w:pStyle w:val="24"/>
              <w:spacing w:line="360" w:lineRule="auto"/>
              <w:jc w:val="center"/>
              <w:rPr>
                <w:rFonts w:hint="eastAsia" w:hAnsi="宋体" w:cs="宋体"/>
                <w:sz w:val="21"/>
                <w:szCs w:val="21"/>
              </w:rPr>
            </w:pPr>
            <w:r>
              <w:rPr>
                <w:rFonts w:hint="eastAsia" w:hAnsi="宋体" w:cs="宋体"/>
                <w:sz w:val="21"/>
                <w:szCs w:val="21"/>
              </w:rPr>
              <w:t>4.1</w:t>
            </w:r>
          </w:p>
        </w:tc>
        <w:tc>
          <w:tcPr>
            <w:tcW w:w="2545" w:type="dxa"/>
            <w:gridSpan w:val="2"/>
            <w:noWrap w:val="0"/>
            <w:vAlign w:val="center"/>
          </w:tcPr>
          <w:p w14:paraId="18ACE33D">
            <w:pPr>
              <w:pStyle w:val="24"/>
              <w:spacing w:line="360" w:lineRule="auto"/>
              <w:rPr>
                <w:rFonts w:hint="eastAsia" w:hAnsi="宋体" w:cs="宋体"/>
                <w:sz w:val="21"/>
                <w:szCs w:val="21"/>
              </w:rPr>
            </w:pPr>
            <w:r>
              <w:rPr>
                <w:rFonts w:hint="eastAsia" w:hAnsi="宋体" w:cs="宋体"/>
                <w:sz w:val="21"/>
                <w:szCs w:val="21"/>
              </w:rPr>
              <w:t>供应商资格要求</w:t>
            </w:r>
          </w:p>
        </w:tc>
        <w:tc>
          <w:tcPr>
            <w:tcW w:w="5688" w:type="dxa"/>
            <w:noWrap w:val="0"/>
            <w:vAlign w:val="center"/>
          </w:tcPr>
          <w:p w14:paraId="33D9C6FC">
            <w:pPr>
              <w:pStyle w:val="24"/>
              <w:spacing w:line="360" w:lineRule="auto"/>
              <w:rPr>
                <w:rFonts w:hint="eastAsia" w:hAnsi="宋体" w:cs="宋体"/>
                <w:sz w:val="21"/>
                <w:szCs w:val="21"/>
              </w:rPr>
            </w:pPr>
            <w:r>
              <w:rPr>
                <w:rFonts w:hint="eastAsia" w:hAnsi="宋体" w:cs="宋体"/>
                <w:sz w:val="21"/>
                <w:szCs w:val="21"/>
              </w:rPr>
              <w:t>详见</w:t>
            </w:r>
            <w:r>
              <w:rPr>
                <w:rFonts w:hint="eastAsia" w:ascii="宋体" w:hAnsi="宋体" w:eastAsia="宋体" w:cs="宋体"/>
                <w:sz w:val="21"/>
                <w:szCs w:val="21"/>
              </w:rPr>
              <w:t>第一章“</w:t>
            </w:r>
            <w:r>
              <w:rPr>
                <w:rFonts w:hint="eastAsia" w:ascii="宋体" w:hAnsi="宋体" w:eastAsia="宋体" w:cs="宋体"/>
                <w:sz w:val="21"/>
                <w:szCs w:val="21"/>
                <w:lang w:val="en-US" w:eastAsia="zh-CN"/>
              </w:rPr>
              <w:t>竞争性谈判公告</w:t>
            </w:r>
            <w:r>
              <w:rPr>
                <w:rFonts w:hint="eastAsia" w:hAnsi="宋体" w:cs="宋体"/>
                <w:sz w:val="21"/>
                <w:szCs w:val="21"/>
              </w:rPr>
              <w:t>”</w:t>
            </w:r>
          </w:p>
        </w:tc>
      </w:tr>
      <w:tr w14:paraId="5787E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5127D8D">
            <w:pPr>
              <w:pStyle w:val="24"/>
              <w:spacing w:line="360" w:lineRule="auto"/>
              <w:jc w:val="center"/>
              <w:rPr>
                <w:rFonts w:hint="default" w:hAnsi="宋体" w:eastAsia="宋体" w:cs="宋体"/>
                <w:sz w:val="21"/>
                <w:szCs w:val="21"/>
                <w:lang w:val="en-US" w:eastAsia="zh-CN"/>
              </w:rPr>
            </w:pPr>
            <w:r>
              <w:rPr>
                <w:rFonts w:hint="eastAsia" w:hAnsi="宋体" w:cs="宋体"/>
                <w:sz w:val="21"/>
                <w:szCs w:val="21"/>
                <w:lang w:val="en-US" w:eastAsia="zh-CN"/>
              </w:rPr>
              <w:t>6.1</w:t>
            </w:r>
          </w:p>
        </w:tc>
        <w:tc>
          <w:tcPr>
            <w:tcW w:w="2545" w:type="dxa"/>
            <w:gridSpan w:val="2"/>
            <w:noWrap w:val="0"/>
            <w:vAlign w:val="center"/>
          </w:tcPr>
          <w:p w14:paraId="74CE33D9">
            <w:pPr>
              <w:adjustRightInd w:val="0"/>
              <w:snapToGrid w:val="0"/>
              <w:jc w:val="left"/>
              <w:rPr>
                <w:rFonts w:hint="eastAsia" w:hAnsi="宋体" w:cs="宋体"/>
                <w:sz w:val="21"/>
                <w:szCs w:val="21"/>
              </w:rPr>
            </w:pPr>
            <w:r>
              <w:rPr>
                <w:rFonts w:hint="eastAsia" w:ascii="宋体" w:hAnsi="宋体" w:cs="宋体"/>
                <w:kern w:val="0"/>
                <w:szCs w:val="21"/>
              </w:rPr>
              <w:t>踏勘现场</w:t>
            </w:r>
          </w:p>
        </w:tc>
        <w:tc>
          <w:tcPr>
            <w:tcW w:w="5688" w:type="dxa"/>
            <w:noWrap w:val="0"/>
            <w:vAlign w:val="center"/>
          </w:tcPr>
          <w:p w14:paraId="184E1BD8">
            <w:pPr>
              <w:topLinePunct/>
              <w:adjustRightInd w:val="0"/>
              <w:snapToGrid w:val="0"/>
              <w:rPr>
                <w:rFonts w:hint="eastAsia" w:hAnsi="宋体" w:cs="宋体"/>
                <w:sz w:val="21"/>
                <w:szCs w:val="21"/>
              </w:rPr>
            </w:pPr>
            <w:r>
              <w:rPr>
                <w:rFonts w:hint="eastAsia" w:ascii="宋体" w:hAnsi="宋体" w:cs="宋体"/>
                <w:kern w:val="0"/>
              </w:rPr>
              <w:t>不组织统一踏勘</w:t>
            </w:r>
          </w:p>
        </w:tc>
      </w:tr>
      <w:tr w14:paraId="5221D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3C629784">
            <w:pPr>
              <w:pStyle w:val="24"/>
              <w:spacing w:line="360" w:lineRule="auto"/>
              <w:jc w:val="center"/>
              <w:rPr>
                <w:rFonts w:hint="default" w:hAnsi="宋体" w:eastAsia="宋体" w:cs="宋体"/>
                <w:sz w:val="21"/>
                <w:szCs w:val="21"/>
                <w:lang w:val="en-US" w:eastAsia="zh-CN"/>
              </w:rPr>
            </w:pPr>
            <w:r>
              <w:rPr>
                <w:rFonts w:hint="eastAsia" w:hAnsi="宋体" w:cs="宋体"/>
                <w:sz w:val="21"/>
                <w:szCs w:val="21"/>
                <w:lang w:val="en-US" w:eastAsia="zh-CN"/>
              </w:rPr>
              <w:t>7.1</w:t>
            </w:r>
          </w:p>
        </w:tc>
        <w:tc>
          <w:tcPr>
            <w:tcW w:w="2545" w:type="dxa"/>
            <w:gridSpan w:val="2"/>
            <w:noWrap w:val="0"/>
            <w:vAlign w:val="center"/>
          </w:tcPr>
          <w:p w14:paraId="0F39C5C0">
            <w:pPr>
              <w:adjustRightInd w:val="0"/>
              <w:snapToGrid w:val="0"/>
              <w:jc w:val="left"/>
              <w:rPr>
                <w:rFonts w:hint="eastAsia" w:hAnsi="宋体" w:cs="宋体"/>
                <w:sz w:val="21"/>
                <w:szCs w:val="21"/>
              </w:rPr>
            </w:pPr>
            <w:r>
              <w:rPr>
                <w:rFonts w:hint="eastAsia" w:ascii="宋体" w:hAnsi="宋体" w:cs="宋体"/>
                <w:kern w:val="0"/>
                <w:szCs w:val="21"/>
              </w:rPr>
              <w:t>分包</w:t>
            </w:r>
          </w:p>
        </w:tc>
        <w:tc>
          <w:tcPr>
            <w:tcW w:w="5688" w:type="dxa"/>
            <w:noWrap w:val="0"/>
            <w:vAlign w:val="center"/>
          </w:tcPr>
          <w:p w14:paraId="448C0FCE">
            <w:pPr>
              <w:topLinePunct/>
              <w:adjustRightInd w:val="0"/>
              <w:snapToGrid w:val="0"/>
              <w:rPr>
                <w:rFonts w:hint="eastAsia" w:hAnsi="宋体" w:cs="宋体"/>
                <w:sz w:val="21"/>
                <w:szCs w:val="21"/>
              </w:rPr>
            </w:pPr>
            <w:r>
              <w:rPr>
                <w:rFonts w:hint="eastAsia" w:ascii="宋体" w:hAnsi="宋体" w:cs="宋体"/>
                <w:kern w:val="0"/>
              </w:rPr>
              <w:t>不允许分包。</w:t>
            </w:r>
          </w:p>
        </w:tc>
      </w:tr>
      <w:tr w14:paraId="5483C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04235A5">
            <w:pPr>
              <w:pStyle w:val="24"/>
              <w:jc w:val="center"/>
              <w:rPr>
                <w:rFonts w:hint="eastAsia" w:hAnsi="宋体" w:cs="宋体"/>
                <w:sz w:val="21"/>
                <w:szCs w:val="21"/>
              </w:rPr>
            </w:pPr>
            <w:r>
              <w:rPr>
                <w:rFonts w:hint="eastAsia" w:hAnsi="宋体" w:cs="宋体"/>
                <w:sz w:val="21"/>
                <w:szCs w:val="21"/>
              </w:rPr>
              <w:t>9.1</w:t>
            </w:r>
          </w:p>
        </w:tc>
        <w:tc>
          <w:tcPr>
            <w:tcW w:w="2545" w:type="dxa"/>
            <w:gridSpan w:val="2"/>
            <w:noWrap w:val="0"/>
            <w:vAlign w:val="center"/>
          </w:tcPr>
          <w:p w14:paraId="2EDD03F2">
            <w:pPr>
              <w:autoSpaceDE w:val="0"/>
              <w:autoSpaceDN w:val="0"/>
              <w:snapToGrid w:val="0"/>
              <w:textAlignment w:val="bottom"/>
              <w:rPr>
                <w:rFonts w:hint="eastAsia" w:ascii="宋体" w:hAnsi="宋体" w:cs="宋体"/>
                <w:kern w:val="0"/>
                <w:szCs w:val="21"/>
              </w:rPr>
            </w:pPr>
            <w:r>
              <w:rPr>
                <w:rFonts w:hint="eastAsia" w:ascii="宋体" w:hAnsi="宋体" w:cs="宋体"/>
                <w:kern w:val="0"/>
                <w:szCs w:val="21"/>
              </w:rPr>
              <w:t>竞争性谈判文件澄清</w:t>
            </w:r>
            <w:r>
              <w:rPr>
                <w:rFonts w:hint="eastAsia" w:ascii="宋体" w:hAnsi="宋体" w:cs="宋体"/>
                <w:szCs w:val="21"/>
              </w:rPr>
              <w:t>截止时间</w:t>
            </w:r>
          </w:p>
        </w:tc>
        <w:tc>
          <w:tcPr>
            <w:tcW w:w="5688" w:type="dxa"/>
            <w:noWrap w:val="0"/>
            <w:vAlign w:val="center"/>
          </w:tcPr>
          <w:p w14:paraId="0C0228CD">
            <w:pPr>
              <w:autoSpaceDE w:val="0"/>
              <w:autoSpaceDN w:val="0"/>
              <w:snapToGrid w:val="0"/>
              <w:textAlignment w:val="bottom"/>
              <w:rPr>
                <w:rFonts w:hint="eastAsia" w:ascii="宋体" w:hAnsi="宋体" w:cs="宋体"/>
                <w:kern w:val="0"/>
                <w:szCs w:val="21"/>
              </w:rPr>
            </w:pPr>
            <w:r>
              <w:rPr>
                <w:rFonts w:hint="eastAsia" w:ascii="宋体" w:hAnsi="宋体" w:cs="宋体"/>
                <w:szCs w:val="21"/>
              </w:rPr>
              <w:t>提交响应文件截止时间</w:t>
            </w:r>
            <w:r>
              <w:rPr>
                <w:rFonts w:hint="eastAsia" w:ascii="宋体" w:hAnsi="宋体" w:cs="宋体"/>
                <w:szCs w:val="21"/>
                <w:u w:val="single"/>
              </w:rPr>
              <w:t>3</w:t>
            </w:r>
            <w:r>
              <w:rPr>
                <w:rFonts w:hint="eastAsia" w:ascii="宋体" w:hAnsi="宋体" w:cs="宋体"/>
                <w:szCs w:val="21"/>
              </w:rPr>
              <w:t>个工作日前</w:t>
            </w:r>
          </w:p>
        </w:tc>
      </w:tr>
      <w:tr w14:paraId="50BDF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260" w:type="dxa"/>
            <w:noWrap w:val="0"/>
            <w:vAlign w:val="center"/>
          </w:tcPr>
          <w:p w14:paraId="14939A75">
            <w:pPr>
              <w:pStyle w:val="24"/>
              <w:jc w:val="center"/>
              <w:rPr>
                <w:rFonts w:hint="eastAsia" w:hAnsi="宋体" w:cs="宋体"/>
                <w:sz w:val="21"/>
                <w:szCs w:val="21"/>
              </w:rPr>
            </w:pPr>
            <w:r>
              <w:rPr>
                <w:rFonts w:hint="eastAsia" w:hAnsi="宋体" w:cs="宋体"/>
                <w:sz w:val="21"/>
                <w:szCs w:val="21"/>
              </w:rPr>
              <w:t>11.1</w:t>
            </w:r>
          </w:p>
        </w:tc>
        <w:tc>
          <w:tcPr>
            <w:tcW w:w="1534" w:type="dxa"/>
            <w:noWrap w:val="0"/>
            <w:vAlign w:val="center"/>
          </w:tcPr>
          <w:p w14:paraId="1108A905">
            <w:pPr>
              <w:pStyle w:val="24"/>
              <w:rPr>
                <w:rFonts w:hint="eastAsia" w:hAnsi="宋体" w:cs="宋体"/>
                <w:sz w:val="21"/>
                <w:szCs w:val="21"/>
              </w:rPr>
            </w:pPr>
            <w:r>
              <w:rPr>
                <w:rFonts w:hint="eastAsia" w:hAnsi="宋体" w:cs="宋体"/>
                <w:sz w:val="21"/>
                <w:szCs w:val="21"/>
              </w:rPr>
              <w:t>构成响应文件的其他资料</w:t>
            </w:r>
          </w:p>
        </w:tc>
        <w:tc>
          <w:tcPr>
            <w:tcW w:w="1011" w:type="dxa"/>
            <w:noWrap w:val="0"/>
            <w:vAlign w:val="center"/>
          </w:tcPr>
          <w:p w14:paraId="28F4070D">
            <w:pPr>
              <w:autoSpaceDE w:val="0"/>
              <w:autoSpaceDN w:val="0"/>
              <w:snapToGrid w:val="0"/>
              <w:textAlignment w:val="bottom"/>
              <w:rPr>
                <w:rFonts w:hint="eastAsia" w:ascii="宋体" w:hAnsi="宋体" w:cs="宋体"/>
                <w:szCs w:val="21"/>
              </w:rPr>
            </w:pPr>
            <w:r>
              <w:rPr>
                <w:rFonts w:hint="eastAsia" w:ascii="宋体" w:hAnsi="宋体" w:cs="宋体"/>
                <w:kern w:val="0"/>
                <w:szCs w:val="21"/>
              </w:rPr>
              <w:t>其他材料</w:t>
            </w:r>
          </w:p>
        </w:tc>
        <w:tc>
          <w:tcPr>
            <w:tcW w:w="5688" w:type="dxa"/>
            <w:noWrap w:val="0"/>
            <w:vAlign w:val="center"/>
          </w:tcPr>
          <w:p w14:paraId="29D44E3E">
            <w:pPr>
              <w:pStyle w:val="24"/>
              <w:rPr>
                <w:rFonts w:hint="eastAsia" w:hAnsi="宋体" w:cs="宋体"/>
                <w:sz w:val="21"/>
                <w:szCs w:val="21"/>
              </w:rPr>
            </w:pPr>
            <w:r>
              <w:rPr>
                <w:rFonts w:hint="eastAsia" w:hAnsi="宋体" w:cs="宋体"/>
                <w:sz w:val="21"/>
                <w:szCs w:val="21"/>
              </w:rPr>
              <w:t>供应商认为必须提供的与本项目有关的其他相关资料。</w:t>
            </w:r>
          </w:p>
        </w:tc>
      </w:tr>
      <w:tr w14:paraId="48AF4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60" w:type="dxa"/>
            <w:noWrap w:val="0"/>
            <w:vAlign w:val="center"/>
          </w:tcPr>
          <w:p w14:paraId="73BAF33A">
            <w:pPr>
              <w:pStyle w:val="24"/>
              <w:jc w:val="center"/>
              <w:rPr>
                <w:rFonts w:hint="eastAsia" w:hAnsi="宋体" w:cs="宋体"/>
                <w:sz w:val="21"/>
                <w:szCs w:val="21"/>
              </w:rPr>
            </w:pPr>
            <w:r>
              <w:rPr>
                <w:rFonts w:hint="eastAsia" w:hAnsi="宋体" w:cs="宋体"/>
                <w:sz w:val="21"/>
                <w:szCs w:val="21"/>
              </w:rPr>
              <w:t>12.1</w:t>
            </w:r>
          </w:p>
        </w:tc>
        <w:tc>
          <w:tcPr>
            <w:tcW w:w="2545" w:type="dxa"/>
            <w:gridSpan w:val="2"/>
            <w:noWrap w:val="0"/>
            <w:vAlign w:val="center"/>
          </w:tcPr>
          <w:p w14:paraId="2235BD4E">
            <w:pPr>
              <w:rPr>
                <w:rFonts w:hint="eastAsia" w:ascii="宋体" w:hAnsi="宋体" w:cs="宋体"/>
                <w:kern w:val="0"/>
                <w:szCs w:val="21"/>
              </w:rPr>
            </w:pPr>
            <w:r>
              <w:rPr>
                <w:rFonts w:hint="eastAsia"/>
              </w:rPr>
              <w:t>谈判报价方式</w:t>
            </w:r>
          </w:p>
        </w:tc>
        <w:tc>
          <w:tcPr>
            <w:tcW w:w="5688" w:type="dxa"/>
            <w:noWrap w:val="0"/>
            <w:vAlign w:val="center"/>
          </w:tcPr>
          <w:p w14:paraId="458ADD88">
            <w:pPr>
              <w:pStyle w:val="24"/>
              <w:spacing w:line="360" w:lineRule="auto"/>
              <w:rPr>
                <w:rFonts w:hint="eastAsia" w:ascii="宋体" w:hAnsi="宋体" w:eastAsia="宋体" w:cs="宋体"/>
                <w:color w:val="auto"/>
                <w:sz w:val="21"/>
                <w:szCs w:val="21"/>
                <w:highlight w:val="none"/>
                <w:lang w:val="en-US" w:eastAsia="zh-CN"/>
              </w:rPr>
            </w:pPr>
            <w:bookmarkStart w:id="89" w:name="OLE_LINK8"/>
            <w:bookmarkStart w:id="90" w:name="OLE_LINK1"/>
            <w:r>
              <w:rPr>
                <w:rFonts w:hint="eastAsia" w:ascii="宋体" w:hAnsi="宋体" w:eastAsia="宋体" w:cs="宋体"/>
                <w:color w:val="auto"/>
                <w:sz w:val="21"/>
                <w:szCs w:val="21"/>
                <w:highlight w:val="none"/>
                <w:lang w:val="en-US" w:eastAsia="zh-CN"/>
              </w:rPr>
              <w:t>1、</w:t>
            </w:r>
            <w:bookmarkEnd w:id="89"/>
            <w:bookmarkEnd w:id="90"/>
            <w:bookmarkStart w:id="91" w:name="OLE_LINK9"/>
            <w:r>
              <w:rPr>
                <w:rFonts w:hint="eastAsia" w:ascii="宋体" w:hAnsi="宋体" w:eastAsia="宋体" w:cs="宋体"/>
                <w:color w:val="auto"/>
                <w:sz w:val="21"/>
                <w:szCs w:val="21"/>
                <w:highlight w:val="none"/>
                <w:lang w:val="en-US" w:eastAsia="zh-CN"/>
              </w:rPr>
              <w:t>本项目谈判报价将根据文件《第五章 采购人需求》中“二、工作内容”之内容确定：</w:t>
            </w:r>
          </w:p>
          <w:p w14:paraId="2F0F9675">
            <w:pPr>
              <w:pStyle w:val="2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谈判报价</w:t>
            </w:r>
            <w:r>
              <w:rPr>
                <w:rFonts w:hint="eastAsia" w:ascii="宋体" w:hAnsi="宋体" w:eastAsia="宋体" w:cs="宋体"/>
                <w:color w:val="auto"/>
                <w:sz w:val="21"/>
                <w:szCs w:val="21"/>
                <w:highlight w:val="none"/>
                <w:lang w:eastAsia="zh-CN"/>
              </w:rPr>
              <w:t>以</w:t>
            </w:r>
            <w:r>
              <w:rPr>
                <w:rFonts w:hint="eastAsia" w:ascii="宋体" w:hAnsi="宋体" w:eastAsia="宋体" w:cs="宋体"/>
                <w:b/>
                <w:bCs/>
                <w:color w:val="auto"/>
                <w:sz w:val="21"/>
                <w:szCs w:val="21"/>
                <w:highlight w:val="none"/>
                <w:lang w:eastAsia="zh-CN"/>
              </w:rPr>
              <w:t>总</w:t>
            </w:r>
            <w:r>
              <w:rPr>
                <w:rFonts w:hint="eastAsia" w:ascii="宋体" w:hAnsi="宋体" w:eastAsia="宋体" w:cs="宋体"/>
                <w:b/>
                <w:bCs/>
                <w:color w:val="auto"/>
                <w:sz w:val="21"/>
                <w:szCs w:val="21"/>
                <w:highlight w:val="none"/>
                <w:lang w:val="en-US" w:eastAsia="zh-CN"/>
              </w:rPr>
              <w:t>价</w:t>
            </w:r>
            <w:r>
              <w:rPr>
                <w:rFonts w:hint="eastAsia" w:ascii="宋体" w:hAnsi="宋体" w:eastAsia="宋体" w:cs="宋体"/>
                <w:b/>
                <w:bCs/>
                <w:color w:val="auto"/>
                <w:sz w:val="21"/>
                <w:szCs w:val="21"/>
                <w:highlight w:val="none"/>
                <w:lang w:eastAsia="zh-CN"/>
              </w:rPr>
              <w:t>包干</w:t>
            </w:r>
            <w:r>
              <w:rPr>
                <w:rFonts w:hint="eastAsia" w:ascii="宋体" w:hAnsi="宋体" w:eastAsia="宋体" w:cs="宋体"/>
                <w:color w:val="auto"/>
                <w:sz w:val="21"/>
                <w:szCs w:val="21"/>
                <w:highlight w:val="none"/>
                <w:lang w:eastAsia="zh-CN"/>
              </w:rPr>
              <w:t>形式结算，</w:t>
            </w:r>
            <w:r>
              <w:rPr>
                <w:rFonts w:hint="eastAsia" w:ascii="宋体" w:hAnsi="宋体" w:eastAsia="宋体" w:cs="宋体"/>
                <w:b/>
                <w:bCs/>
                <w:color w:val="auto"/>
                <w:sz w:val="21"/>
                <w:szCs w:val="21"/>
                <w:highlight w:val="none"/>
                <w:lang w:eastAsia="zh-CN"/>
              </w:rPr>
              <w:t>劳务费用为</w:t>
            </w:r>
            <w:r>
              <w:rPr>
                <w:rFonts w:hint="eastAsia" w:ascii="宋体" w:hAnsi="宋体" w:eastAsia="宋体" w:cs="宋体"/>
                <w:b/>
                <w:bCs/>
                <w:color w:val="auto"/>
                <w:sz w:val="21"/>
                <w:szCs w:val="21"/>
                <w:highlight w:val="none"/>
                <w:u w:val="single"/>
                <w:lang w:eastAsia="zh-CN"/>
              </w:rPr>
              <w:t xml:space="preserve">     </w:t>
            </w:r>
            <w:r>
              <w:rPr>
                <w:rFonts w:hint="eastAsia" w:ascii="宋体" w:hAnsi="宋体" w:eastAsia="宋体" w:cs="宋体"/>
                <w:b/>
                <w:bCs/>
                <w:color w:val="auto"/>
                <w:sz w:val="21"/>
                <w:szCs w:val="21"/>
                <w:highlight w:val="none"/>
                <w:lang w:eastAsia="zh-CN"/>
              </w:rPr>
              <w:t>元/月(其中：不含税金额    元，税额    元)。</w:t>
            </w:r>
          </w:p>
          <w:bookmarkEnd w:id="91"/>
          <w:p w14:paraId="6A7705B4">
            <w:pPr>
              <w:pStyle w:val="2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2、谈判报价包括但不限于劳务工资（含节假日和平时加班费）、劳动保护费用、工器具费、管理费、利润、风险费、措施费、规费、税金等全部费用；</w:t>
            </w:r>
          </w:p>
          <w:p w14:paraId="46B16977">
            <w:pPr>
              <w:pStyle w:val="24"/>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3、关于《第五章 采购人需求》中“二、工作内容/2.(1)”中623装置生产运行人员,若学历不达标不允许进入工作岗位，按4000元/人/月标准进行考核。</w:t>
            </w:r>
          </w:p>
          <w:p w14:paraId="49A0D9F1">
            <w:pPr>
              <w:rPr>
                <w:rFonts w:hint="eastAsia" w:hAnsi="宋体" w:cs="宋体"/>
                <w:b/>
                <w:bCs/>
                <w:sz w:val="21"/>
                <w:szCs w:val="21"/>
              </w:rPr>
            </w:pPr>
            <w:r>
              <w:rPr>
                <w:rFonts w:hint="eastAsia" w:ascii="宋体" w:hAnsi="宋体" w:eastAsia="宋体" w:cs="宋体"/>
                <w:color w:val="auto"/>
                <w:sz w:val="21"/>
                <w:szCs w:val="21"/>
                <w:highlight w:val="none"/>
                <w:lang w:val="en-US" w:eastAsia="zh-CN"/>
              </w:rPr>
              <w:t>4、本项目谈判总报价＝总价包干劳务费用*</w:t>
            </w:r>
            <w:r>
              <w:rPr>
                <w:rFonts w:hint="eastAsia" w:hAnsi="宋体" w:cs="宋体"/>
                <w:color w:val="auto"/>
                <w:sz w:val="21"/>
                <w:szCs w:val="21"/>
                <w:highlight w:val="none"/>
                <w:lang w:val="en-US" w:eastAsia="zh-CN"/>
              </w:rPr>
              <w:t>12个月</w:t>
            </w:r>
            <w:r>
              <w:rPr>
                <w:rFonts w:hint="eastAsia" w:ascii="宋体" w:hAnsi="宋体" w:eastAsia="宋体" w:cs="宋体"/>
                <w:color w:val="auto"/>
                <w:sz w:val="21"/>
                <w:szCs w:val="21"/>
                <w:highlight w:val="none"/>
                <w:lang w:val="en-US" w:eastAsia="zh-CN"/>
              </w:rPr>
              <w:t>。谈判总报价只作为报价分值的计算依据，最终结算数量以实际发生为准，结算价格以总价包干劳务费用为准；</w:t>
            </w:r>
          </w:p>
        </w:tc>
      </w:tr>
      <w:tr w14:paraId="33EEC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1260" w:type="dxa"/>
            <w:noWrap w:val="0"/>
            <w:vAlign w:val="center"/>
          </w:tcPr>
          <w:p w14:paraId="74F41632">
            <w:pPr>
              <w:pStyle w:val="24"/>
              <w:jc w:val="center"/>
              <w:rPr>
                <w:rFonts w:hint="eastAsia" w:hAnsi="宋体" w:eastAsia="宋体" w:cs="宋体"/>
                <w:sz w:val="21"/>
                <w:szCs w:val="21"/>
                <w:lang w:eastAsia="zh-CN"/>
              </w:rPr>
            </w:pPr>
            <w:r>
              <w:rPr>
                <w:rFonts w:hint="eastAsia" w:hAnsi="宋体" w:cs="宋体"/>
                <w:sz w:val="21"/>
                <w:szCs w:val="21"/>
              </w:rPr>
              <w:t>12.</w:t>
            </w:r>
            <w:r>
              <w:rPr>
                <w:rFonts w:hint="eastAsia" w:hAnsi="宋体" w:cs="宋体"/>
                <w:sz w:val="21"/>
                <w:szCs w:val="21"/>
                <w:lang w:val="en-US" w:eastAsia="zh-CN"/>
              </w:rPr>
              <w:t>4</w:t>
            </w:r>
          </w:p>
        </w:tc>
        <w:tc>
          <w:tcPr>
            <w:tcW w:w="2545" w:type="dxa"/>
            <w:gridSpan w:val="2"/>
            <w:noWrap w:val="0"/>
            <w:vAlign w:val="center"/>
          </w:tcPr>
          <w:p w14:paraId="19183C06">
            <w:pPr>
              <w:autoSpaceDE w:val="0"/>
              <w:autoSpaceDN w:val="0"/>
              <w:snapToGrid w:val="0"/>
              <w:textAlignment w:val="bottom"/>
              <w:rPr>
                <w:rFonts w:hint="eastAsia" w:hAnsi="宋体" w:cs="宋体"/>
                <w:sz w:val="21"/>
                <w:szCs w:val="21"/>
              </w:rPr>
            </w:pPr>
            <w:r>
              <w:rPr>
                <w:rFonts w:hint="eastAsia" w:ascii="宋体" w:hAnsi="宋体" w:cs="宋体"/>
                <w:kern w:val="0"/>
                <w:szCs w:val="21"/>
              </w:rPr>
              <w:t>最高采购限价</w:t>
            </w:r>
          </w:p>
        </w:tc>
        <w:tc>
          <w:tcPr>
            <w:tcW w:w="5688" w:type="dxa"/>
            <w:noWrap w:val="0"/>
            <w:vAlign w:val="center"/>
          </w:tcPr>
          <w:p w14:paraId="69556449">
            <w:pPr>
              <w:pStyle w:val="24"/>
              <w:spacing w:line="360" w:lineRule="auto"/>
              <w:rPr>
                <w:rFonts w:hint="default" w:hAnsi="宋体" w:cs="宋体"/>
                <w:b/>
                <w:color w:val="auto"/>
                <w:sz w:val="21"/>
                <w:szCs w:val="21"/>
                <w:highlight w:val="none"/>
                <w:lang w:val="en-US" w:eastAsia="zh-CN"/>
              </w:rPr>
            </w:pPr>
            <w:r>
              <w:rPr>
                <w:rFonts w:hint="eastAsia" w:hAnsi="宋体" w:cs="宋体"/>
                <w:b/>
                <w:color w:val="auto"/>
                <w:sz w:val="21"/>
                <w:szCs w:val="21"/>
                <w:highlight w:val="none"/>
              </w:rPr>
              <w:t>本项目最高采购限价</w:t>
            </w:r>
            <w:r>
              <w:rPr>
                <w:rFonts w:hint="eastAsia" w:hAnsi="宋体" w:cs="宋体"/>
                <w:b/>
                <w:color w:val="auto"/>
                <w:sz w:val="21"/>
                <w:szCs w:val="21"/>
                <w:highlight w:val="none"/>
                <w:lang w:eastAsia="zh-CN"/>
              </w:rPr>
              <w:t>：</w:t>
            </w:r>
            <w:r>
              <w:rPr>
                <w:rFonts w:hint="eastAsia" w:hAnsi="宋体" w:cs="宋体"/>
                <w:b/>
                <w:color w:val="auto"/>
                <w:sz w:val="21"/>
                <w:szCs w:val="21"/>
                <w:highlight w:val="none"/>
                <w:u w:val="single"/>
                <w:lang w:val="en-US" w:eastAsia="zh-CN"/>
              </w:rPr>
              <w:t>64680元/月</w:t>
            </w:r>
          </w:p>
          <w:p w14:paraId="25FA33FA">
            <w:pPr>
              <w:pStyle w:val="24"/>
              <w:rPr>
                <w:rFonts w:hAnsi="宋体" w:cs="宋体"/>
                <w:sz w:val="21"/>
                <w:szCs w:val="21"/>
              </w:rPr>
            </w:pPr>
            <w:r>
              <w:rPr>
                <w:rFonts w:hint="eastAsia" w:ascii="宋体" w:hAnsi="宋体" w:eastAsia="宋体" w:cs="宋体"/>
                <w:b/>
                <w:bCs/>
                <w:strike w:val="0"/>
                <w:color w:val="auto"/>
                <w:kern w:val="0"/>
                <w:highlight w:val="none"/>
                <w:lang w:val="en-US" w:eastAsia="zh-CN"/>
              </w:rPr>
              <w:t>供应商</w:t>
            </w:r>
            <w:r>
              <w:rPr>
                <w:rFonts w:hint="default" w:ascii="宋体" w:hAnsi="宋体" w:eastAsia="宋体" w:cs="宋体"/>
                <w:b/>
                <w:bCs/>
                <w:strike w:val="0"/>
                <w:color w:val="auto"/>
                <w:kern w:val="0"/>
                <w:highlight w:val="none"/>
                <w:lang w:eastAsia="zh-CN"/>
              </w:rPr>
              <w:t>报价超出上述金额将按否决</w:t>
            </w:r>
            <w:r>
              <w:rPr>
                <w:rFonts w:hint="eastAsia" w:ascii="宋体" w:hAnsi="宋体" w:cs="宋体"/>
                <w:b/>
                <w:bCs/>
                <w:strike w:val="0"/>
                <w:color w:val="auto"/>
                <w:kern w:val="0"/>
                <w:highlight w:val="none"/>
                <w:lang w:eastAsia="zh-CN"/>
              </w:rPr>
              <w:t>谈判</w:t>
            </w:r>
            <w:r>
              <w:rPr>
                <w:rFonts w:hint="default" w:ascii="宋体" w:hAnsi="宋体" w:eastAsia="宋体" w:cs="宋体"/>
                <w:b/>
                <w:bCs/>
                <w:strike w:val="0"/>
                <w:color w:val="auto"/>
                <w:kern w:val="0"/>
                <w:highlight w:val="none"/>
                <w:lang w:eastAsia="zh-CN"/>
              </w:rPr>
              <w:t>处理。</w:t>
            </w:r>
          </w:p>
        </w:tc>
      </w:tr>
      <w:tr w14:paraId="3A92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979E731">
            <w:pPr>
              <w:pStyle w:val="24"/>
              <w:jc w:val="center"/>
              <w:rPr>
                <w:rFonts w:hint="eastAsia" w:hAnsi="宋体" w:cs="宋体"/>
                <w:sz w:val="21"/>
                <w:szCs w:val="21"/>
              </w:rPr>
            </w:pPr>
            <w:r>
              <w:rPr>
                <w:rFonts w:hint="eastAsia" w:hAnsi="宋体" w:cs="宋体"/>
                <w:sz w:val="21"/>
                <w:szCs w:val="21"/>
              </w:rPr>
              <w:t>13.1</w:t>
            </w:r>
          </w:p>
        </w:tc>
        <w:tc>
          <w:tcPr>
            <w:tcW w:w="2545" w:type="dxa"/>
            <w:gridSpan w:val="2"/>
            <w:noWrap w:val="0"/>
            <w:vAlign w:val="center"/>
          </w:tcPr>
          <w:p w14:paraId="69CECD1B">
            <w:pPr>
              <w:pStyle w:val="24"/>
              <w:rPr>
                <w:rFonts w:hint="eastAsia" w:hAnsi="宋体" w:cs="宋体"/>
                <w:sz w:val="21"/>
                <w:szCs w:val="21"/>
              </w:rPr>
            </w:pPr>
            <w:r>
              <w:rPr>
                <w:rFonts w:hint="eastAsia" w:hAnsi="宋体" w:cs="宋体"/>
                <w:szCs w:val="21"/>
              </w:rPr>
              <w:t>谈判</w:t>
            </w:r>
            <w:r>
              <w:rPr>
                <w:rFonts w:hint="eastAsia" w:hAnsi="宋体" w:cs="宋体"/>
                <w:sz w:val="21"/>
                <w:szCs w:val="21"/>
              </w:rPr>
              <w:t>有效期</w:t>
            </w:r>
          </w:p>
        </w:tc>
        <w:tc>
          <w:tcPr>
            <w:tcW w:w="5688" w:type="dxa"/>
            <w:noWrap w:val="0"/>
            <w:vAlign w:val="center"/>
          </w:tcPr>
          <w:p w14:paraId="234B7C08">
            <w:pPr>
              <w:pStyle w:val="24"/>
              <w:rPr>
                <w:rFonts w:hint="eastAsia" w:hAnsi="宋体" w:cs="宋体"/>
                <w:sz w:val="21"/>
                <w:szCs w:val="21"/>
              </w:rPr>
            </w:pPr>
            <w:r>
              <w:rPr>
                <w:rFonts w:hint="eastAsia" w:hAnsi="宋体" w:cs="宋体"/>
                <w:sz w:val="21"/>
                <w:szCs w:val="21"/>
              </w:rPr>
              <w:t>递交响应文件的截止日期后</w:t>
            </w:r>
            <w:r>
              <w:rPr>
                <w:rFonts w:hint="eastAsia" w:hAnsi="宋体" w:cs="宋体"/>
                <w:sz w:val="21"/>
                <w:szCs w:val="21"/>
                <w:u w:val="single"/>
              </w:rPr>
              <w:t>90</w:t>
            </w:r>
            <w:r>
              <w:rPr>
                <w:rFonts w:hint="eastAsia" w:hAnsi="宋体" w:cs="宋体"/>
                <w:sz w:val="21"/>
                <w:szCs w:val="21"/>
              </w:rPr>
              <w:t>天</w:t>
            </w:r>
          </w:p>
        </w:tc>
      </w:tr>
      <w:tr w14:paraId="64542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41" w:hRule="atLeast"/>
          <w:jc w:val="center"/>
        </w:trPr>
        <w:tc>
          <w:tcPr>
            <w:tcW w:w="1260" w:type="dxa"/>
            <w:noWrap w:val="0"/>
            <w:vAlign w:val="center"/>
          </w:tcPr>
          <w:p w14:paraId="02B22907">
            <w:pPr>
              <w:pStyle w:val="24"/>
              <w:jc w:val="center"/>
              <w:rPr>
                <w:rFonts w:hint="eastAsia" w:hAnsi="宋体" w:cs="宋体"/>
                <w:sz w:val="21"/>
                <w:szCs w:val="21"/>
              </w:rPr>
            </w:pPr>
            <w:r>
              <w:rPr>
                <w:rFonts w:hint="eastAsia" w:hAnsi="宋体" w:cs="宋体"/>
                <w:sz w:val="21"/>
                <w:szCs w:val="21"/>
              </w:rPr>
              <w:t>14.4</w:t>
            </w:r>
          </w:p>
        </w:tc>
        <w:tc>
          <w:tcPr>
            <w:tcW w:w="2545" w:type="dxa"/>
            <w:gridSpan w:val="2"/>
            <w:noWrap w:val="0"/>
            <w:vAlign w:val="center"/>
          </w:tcPr>
          <w:p w14:paraId="45230ADE">
            <w:pPr>
              <w:pStyle w:val="24"/>
              <w:rPr>
                <w:rFonts w:hint="eastAsia" w:hAnsi="宋体" w:cs="宋体"/>
                <w:sz w:val="21"/>
                <w:szCs w:val="21"/>
              </w:rPr>
            </w:pPr>
            <w:r>
              <w:rPr>
                <w:rFonts w:hint="eastAsia" w:hAnsi="宋体" w:cs="宋体"/>
                <w:sz w:val="21"/>
                <w:szCs w:val="21"/>
              </w:rPr>
              <w:t>响应文件副本份数</w:t>
            </w:r>
          </w:p>
        </w:tc>
        <w:tc>
          <w:tcPr>
            <w:tcW w:w="5688" w:type="dxa"/>
            <w:noWrap w:val="0"/>
            <w:vAlign w:val="center"/>
          </w:tcPr>
          <w:p w14:paraId="63A238FC">
            <w:pPr>
              <w:pStyle w:val="24"/>
              <w:rPr>
                <w:rFonts w:hint="eastAsia" w:hAnsi="宋体" w:cs="宋体"/>
                <w:sz w:val="21"/>
                <w:szCs w:val="21"/>
              </w:rPr>
            </w:pPr>
            <w:r>
              <w:rPr>
                <w:rFonts w:hint="eastAsia" w:hAnsi="宋体" w:cs="宋体"/>
                <w:b/>
                <w:bCs/>
                <w:sz w:val="21"/>
                <w:szCs w:val="21"/>
              </w:rPr>
              <w:t>纸质版响应文件：</w:t>
            </w:r>
            <w:r>
              <w:rPr>
                <w:rFonts w:hint="eastAsia" w:hAnsi="宋体" w:cs="宋体"/>
                <w:sz w:val="21"/>
                <w:szCs w:val="21"/>
              </w:rPr>
              <w:t>正本1份，副本</w:t>
            </w:r>
            <w:r>
              <w:rPr>
                <w:rFonts w:hint="eastAsia" w:hAnsi="宋体" w:cs="宋体"/>
                <w:sz w:val="21"/>
                <w:szCs w:val="21"/>
                <w:lang w:val="en-US" w:eastAsia="zh-CN"/>
              </w:rPr>
              <w:t>1</w:t>
            </w:r>
            <w:r>
              <w:rPr>
                <w:rFonts w:hint="eastAsia" w:hAnsi="宋体" w:cs="宋体"/>
                <w:sz w:val="21"/>
                <w:szCs w:val="21"/>
              </w:rPr>
              <w:t>份</w:t>
            </w:r>
          </w:p>
          <w:p w14:paraId="488269C1">
            <w:pPr>
              <w:pStyle w:val="24"/>
              <w:rPr>
                <w:rFonts w:hint="eastAsia" w:hAnsi="宋体" w:cs="宋体"/>
                <w:sz w:val="21"/>
                <w:szCs w:val="21"/>
              </w:rPr>
            </w:pPr>
            <w:r>
              <w:rPr>
                <w:rFonts w:hint="eastAsia" w:hAnsi="宋体" w:cs="宋体"/>
                <w:b/>
                <w:bCs/>
                <w:sz w:val="21"/>
                <w:szCs w:val="21"/>
              </w:rPr>
              <w:t>电子版响应文件：</w:t>
            </w:r>
            <w:r>
              <w:rPr>
                <w:rFonts w:hint="eastAsia" w:hAnsi="宋体" w:cs="宋体"/>
                <w:sz w:val="21"/>
                <w:szCs w:val="21"/>
              </w:rPr>
              <w:t>响应文件word版一份，PDF扫描件一份，保存在同一U盘中。</w:t>
            </w:r>
          </w:p>
          <w:p w14:paraId="7A34293D">
            <w:pPr>
              <w:pStyle w:val="24"/>
              <w:rPr>
                <w:rFonts w:hint="eastAsia" w:hAnsi="宋体" w:cs="宋体"/>
                <w:sz w:val="21"/>
                <w:szCs w:val="21"/>
              </w:rPr>
            </w:pPr>
            <w:r>
              <w:rPr>
                <w:rFonts w:hint="eastAsia" w:hAnsi="宋体" w:cs="宋体"/>
                <w:sz w:val="21"/>
                <w:szCs w:val="21"/>
              </w:rPr>
              <w:t>（1）word版电子响应文件为可编辑的最终版响应文件，PDF版的响应文件为签字盖章后响应文件正本的所有内容（包含封面）彩色扫描，扫描件与纸质文件正本一致。</w:t>
            </w:r>
          </w:p>
          <w:p w14:paraId="4E04E52B">
            <w:pPr>
              <w:pStyle w:val="24"/>
              <w:rPr>
                <w:rFonts w:hint="eastAsia" w:hAnsi="宋体" w:cs="宋体"/>
                <w:sz w:val="21"/>
                <w:szCs w:val="21"/>
              </w:rPr>
            </w:pPr>
            <w:r>
              <w:rPr>
                <w:rFonts w:hint="eastAsia" w:hAnsi="宋体" w:cs="宋体"/>
                <w:sz w:val="21"/>
                <w:szCs w:val="21"/>
              </w:rPr>
              <w:t>（2）响应文件电子版和响应文件纸质文件统一密封。</w:t>
            </w:r>
          </w:p>
        </w:tc>
      </w:tr>
      <w:tr w14:paraId="05696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2EB9124B">
            <w:pPr>
              <w:pStyle w:val="24"/>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5</w:t>
            </w:r>
            <w:r>
              <w:rPr>
                <w:rFonts w:hint="eastAsia" w:hAnsi="宋体" w:cs="宋体"/>
                <w:sz w:val="21"/>
                <w:szCs w:val="21"/>
                <w:highlight w:val="none"/>
              </w:rPr>
              <w:t>.1</w:t>
            </w:r>
          </w:p>
        </w:tc>
        <w:tc>
          <w:tcPr>
            <w:tcW w:w="2545" w:type="dxa"/>
            <w:gridSpan w:val="2"/>
            <w:noWrap w:val="0"/>
            <w:vAlign w:val="center"/>
          </w:tcPr>
          <w:p w14:paraId="6E18D876">
            <w:pPr>
              <w:pStyle w:val="24"/>
              <w:spacing w:line="360" w:lineRule="auto"/>
              <w:rPr>
                <w:rFonts w:hint="eastAsia" w:hAnsi="宋体" w:cs="宋体"/>
                <w:sz w:val="21"/>
                <w:szCs w:val="21"/>
              </w:rPr>
            </w:pPr>
            <w:r>
              <w:rPr>
                <w:rFonts w:hint="eastAsia" w:hAnsi="宋体" w:cs="宋体"/>
                <w:sz w:val="21"/>
                <w:szCs w:val="21"/>
              </w:rPr>
              <w:t>谈判保证金</w:t>
            </w:r>
          </w:p>
        </w:tc>
        <w:tc>
          <w:tcPr>
            <w:tcW w:w="5688" w:type="dxa"/>
            <w:noWrap w:val="0"/>
            <w:vAlign w:val="center"/>
          </w:tcPr>
          <w:p w14:paraId="1E136CF9">
            <w:pPr>
              <w:spacing w:line="360" w:lineRule="auto"/>
              <w:rPr>
                <w:rFonts w:hint="eastAsia" w:ascii="宋体" w:hAnsi="宋体" w:cs="宋体"/>
                <w:szCs w:val="21"/>
              </w:rPr>
            </w:pPr>
            <w:r>
              <w:rPr>
                <w:rFonts w:hint="eastAsia" w:ascii="宋体" w:hAnsi="宋体" w:cs="宋体"/>
                <w:szCs w:val="21"/>
              </w:rPr>
              <w:t>无</w:t>
            </w:r>
          </w:p>
        </w:tc>
      </w:tr>
      <w:tr w14:paraId="1BF3F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7765AFE">
            <w:pPr>
              <w:pStyle w:val="41"/>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6</w:t>
            </w:r>
            <w:r>
              <w:rPr>
                <w:rFonts w:hint="eastAsia" w:hAnsi="宋体" w:cs="宋体"/>
                <w:sz w:val="21"/>
                <w:szCs w:val="21"/>
                <w:highlight w:val="none"/>
              </w:rPr>
              <w:t>.1</w:t>
            </w:r>
          </w:p>
        </w:tc>
        <w:tc>
          <w:tcPr>
            <w:tcW w:w="2545" w:type="dxa"/>
            <w:gridSpan w:val="2"/>
            <w:noWrap w:val="0"/>
            <w:vAlign w:val="center"/>
          </w:tcPr>
          <w:p w14:paraId="38F66665">
            <w:pPr>
              <w:pStyle w:val="24"/>
              <w:spacing w:line="360" w:lineRule="auto"/>
              <w:rPr>
                <w:rFonts w:hint="eastAsia" w:hAnsi="宋体" w:cs="宋体"/>
                <w:sz w:val="21"/>
                <w:szCs w:val="21"/>
              </w:rPr>
            </w:pPr>
            <w:r>
              <w:rPr>
                <w:rFonts w:hint="eastAsia" w:hAnsi="宋体" w:cs="宋体"/>
                <w:sz w:val="21"/>
                <w:szCs w:val="21"/>
              </w:rPr>
              <w:t>递交响应文件的截止时间</w:t>
            </w:r>
          </w:p>
        </w:tc>
        <w:tc>
          <w:tcPr>
            <w:tcW w:w="5688" w:type="dxa"/>
            <w:noWrap w:val="0"/>
            <w:vAlign w:val="center"/>
          </w:tcPr>
          <w:p w14:paraId="29F35478">
            <w:pPr>
              <w:spacing w:line="360" w:lineRule="auto"/>
              <w:rPr>
                <w:rFonts w:hint="eastAsia" w:ascii="宋体" w:hAnsi="宋体" w:cs="宋体"/>
                <w:szCs w:val="21"/>
              </w:rPr>
            </w:pPr>
            <w:r>
              <w:rPr>
                <w:rFonts w:hint="eastAsia" w:ascii="宋体" w:hAnsi="宋体" w:cs="宋体"/>
                <w:szCs w:val="21"/>
              </w:rPr>
              <w:t>见</w:t>
            </w:r>
            <w:r>
              <w:rPr>
                <w:rFonts w:hint="eastAsia" w:ascii="宋体" w:hAnsi="宋体" w:eastAsia="宋体" w:cs="宋体"/>
                <w:szCs w:val="21"/>
              </w:rPr>
              <w:t>第一章“</w:t>
            </w:r>
            <w:r>
              <w:rPr>
                <w:rFonts w:hint="eastAsia" w:ascii="宋体" w:hAnsi="宋体" w:eastAsia="宋体" w:cs="宋体"/>
                <w:szCs w:val="21"/>
                <w:lang w:val="en-US" w:eastAsia="zh-CN"/>
              </w:rPr>
              <w:t>竞争性谈判公告</w:t>
            </w:r>
            <w:r>
              <w:rPr>
                <w:rFonts w:hint="eastAsia" w:ascii="宋体" w:hAnsi="宋体" w:eastAsia="宋体" w:cs="宋体"/>
                <w:szCs w:val="21"/>
              </w:rPr>
              <w:t>”</w:t>
            </w:r>
            <w:r>
              <w:rPr>
                <w:rFonts w:hint="eastAsia" w:ascii="宋体" w:hAnsi="宋体" w:cs="宋体"/>
                <w:szCs w:val="21"/>
              </w:rPr>
              <w:t>。</w:t>
            </w:r>
          </w:p>
        </w:tc>
      </w:tr>
      <w:tr w14:paraId="3A7EA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8DE005F">
            <w:pPr>
              <w:pStyle w:val="41"/>
              <w:spacing w:line="360" w:lineRule="auto"/>
              <w:jc w:val="center"/>
              <w:rPr>
                <w:rFonts w:hint="eastAsia" w:hAnsi="宋体" w:cs="宋体"/>
                <w:sz w:val="21"/>
                <w:szCs w:val="21"/>
                <w:highlight w:val="none"/>
              </w:rPr>
            </w:pPr>
            <w:r>
              <w:rPr>
                <w:rFonts w:hint="eastAsia" w:hAnsi="宋体" w:cs="宋体"/>
                <w:sz w:val="21"/>
                <w:szCs w:val="21"/>
                <w:highlight w:val="none"/>
                <w:lang w:val="en-US" w:eastAsia="zh-CN"/>
              </w:rPr>
              <w:t>16</w:t>
            </w:r>
            <w:r>
              <w:rPr>
                <w:rFonts w:hint="eastAsia" w:hAnsi="宋体" w:cs="宋体"/>
                <w:sz w:val="21"/>
                <w:szCs w:val="21"/>
                <w:highlight w:val="none"/>
              </w:rPr>
              <w:t>.2</w:t>
            </w:r>
          </w:p>
        </w:tc>
        <w:tc>
          <w:tcPr>
            <w:tcW w:w="2545" w:type="dxa"/>
            <w:gridSpan w:val="2"/>
            <w:noWrap w:val="0"/>
            <w:vAlign w:val="center"/>
          </w:tcPr>
          <w:p w14:paraId="29D64B5D">
            <w:pPr>
              <w:pStyle w:val="24"/>
              <w:spacing w:line="360" w:lineRule="auto"/>
              <w:rPr>
                <w:rFonts w:hint="eastAsia" w:hAnsi="宋体" w:cs="宋体"/>
                <w:sz w:val="21"/>
                <w:szCs w:val="21"/>
              </w:rPr>
            </w:pPr>
            <w:r>
              <w:rPr>
                <w:rFonts w:hint="eastAsia" w:hAnsi="宋体" w:cs="宋体"/>
                <w:sz w:val="21"/>
                <w:szCs w:val="21"/>
              </w:rPr>
              <w:t>递交响应文件地点</w:t>
            </w:r>
          </w:p>
        </w:tc>
        <w:tc>
          <w:tcPr>
            <w:tcW w:w="5688" w:type="dxa"/>
            <w:noWrap w:val="0"/>
            <w:vAlign w:val="center"/>
          </w:tcPr>
          <w:p w14:paraId="7114A797">
            <w:pPr>
              <w:pStyle w:val="24"/>
              <w:spacing w:line="360" w:lineRule="auto"/>
              <w:rPr>
                <w:rFonts w:hint="eastAsia" w:hAnsi="宋体" w:cs="宋体"/>
                <w:sz w:val="21"/>
                <w:szCs w:val="21"/>
              </w:rPr>
            </w:pPr>
            <w:r>
              <w:rPr>
                <w:rFonts w:hint="eastAsia" w:hAnsi="宋体" w:cs="宋体"/>
                <w:sz w:val="21"/>
                <w:szCs w:val="21"/>
              </w:rPr>
              <w:t>见</w:t>
            </w:r>
            <w:r>
              <w:rPr>
                <w:rFonts w:hint="eastAsia" w:ascii="宋体" w:hAnsi="宋体" w:eastAsia="宋体" w:cs="宋体"/>
                <w:szCs w:val="21"/>
              </w:rPr>
              <w:t>第一章“</w:t>
            </w:r>
            <w:r>
              <w:rPr>
                <w:rFonts w:hint="eastAsia" w:ascii="宋体" w:hAnsi="宋体" w:eastAsia="宋体" w:cs="宋体"/>
                <w:szCs w:val="21"/>
                <w:lang w:val="en-US" w:eastAsia="zh-CN"/>
              </w:rPr>
              <w:t>竞争性谈判公告</w:t>
            </w:r>
            <w:r>
              <w:rPr>
                <w:rFonts w:hint="eastAsia" w:ascii="宋体" w:hAnsi="宋体" w:eastAsia="宋体" w:cs="宋体"/>
                <w:szCs w:val="21"/>
              </w:rPr>
              <w:t>”</w:t>
            </w:r>
            <w:r>
              <w:rPr>
                <w:rFonts w:hint="eastAsia" w:hAnsi="宋体" w:cs="宋体"/>
                <w:sz w:val="21"/>
                <w:szCs w:val="21"/>
              </w:rPr>
              <w:t>。</w:t>
            </w:r>
          </w:p>
        </w:tc>
      </w:tr>
      <w:tr w14:paraId="39ADC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5CD0C898">
            <w:pPr>
              <w:pStyle w:val="41"/>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6</w:t>
            </w:r>
            <w:r>
              <w:rPr>
                <w:rFonts w:hint="eastAsia" w:hAnsi="宋体" w:cs="宋体"/>
                <w:sz w:val="21"/>
                <w:szCs w:val="21"/>
                <w:highlight w:val="none"/>
              </w:rPr>
              <w:t>.3</w:t>
            </w:r>
          </w:p>
        </w:tc>
        <w:tc>
          <w:tcPr>
            <w:tcW w:w="2545" w:type="dxa"/>
            <w:gridSpan w:val="2"/>
            <w:noWrap w:val="0"/>
            <w:vAlign w:val="center"/>
          </w:tcPr>
          <w:p w14:paraId="6418F909">
            <w:pPr>
              <w:pStyle w:val="24"/>
              <w:spacing w:line="360" w:lineRule="auto"/>
              <w:rPr>
                <w:rFonts w:hint="eastAsia" w:hAnsi="宋体" w:cs="宋体"/>
                <w:sz w:val="21"/>
                <w:szCs w:val="21"/>
              </w:rPr>
            </w:pPr>
            <w:r>
              <w:rPr>
                <w:rFonts w:hint="eastAsia" w:hAnsi="宋体" w:cs="宋体"/>
                <w:sz w:val="21"/>
                <w:szCs w:val="21"/>
              </w:rPr>
              <w:t>是否退还响应文件</w:t>
            </w:r>
          </w:p>
        </w:tc>
        <w:tc>
          <w:tcPr>
            <w:tcW w:w="5688" w:type="dxa"/>
            <w:noWrap w:val="0"/>
            <w:vAlign w:val="center"/>
          </w:tcPr>
          <w:p w14:paraId="4EA83682">
            <w:pPr>
              <w:pStyle w:val="24"/>
              <w:spacing w:line="360" w:lineRule="auto"/>
              <w:rPr>
                <w:rFonts w:hint="eastAsia" w:hAnsi="宋体" w:cs="宋体"/>
                <w:sz w:val="21"/>
                <w:szCs w:val="21"/>
              </w:rPr>
            </w:pPr>
            <w:r>
              <w:rPr>
                <w:rFonts w:hint="eastAsia" w:hAnsi="宋体" w:cs="宋体"/>
                <w:sz w:val="21"/>
                <w:szCs w:val="21"/>
              </w:rPr>
              <w:t>☑否</w:t>
            </w:r>
          </w:p>
          <w:p w14:paraId="47A33A37">
            <w:pPr>
              <w:pStyle w:val="24"/>
              <w:spacing w:line="360" w:lineRule="auto"/>
              <w:rPr>
                <w:rFonts w:hint="eastAsia" w:hAnsi="宋体" w:cs="宋体"/>
                <w:sz w:val="21"/>
                <w:szCs w:val="21"/>
              </w:rPr>
            </w:pPr>
            <w:r>
              <w:rPr>
                <w:rFonts w:hint="eastAsia" w:hAnsi="宋体" w:cs="宋体"/>
                <w:sz w:val="21"/>
                <w:szCs w:val="21"/>
              </w:rPr>
              <w:t>□是</w:t>
            </w:r>
          </w:p>
        </w:tc>
      </w:tr>
      <w:tr w14:paraId="034CC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69FADB4A">
            <w:pPr>
              <w:pStyle w:val="24"/>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7</w:t>
            </w:r>
            <w:r>
              <w:rPr>
                <w:rFonts w:hint="eastAsia" w:hAnsi="宋体" w:cs="宋体"/>
                <w:sz w:val="21"/>
                <w:szCs w:val="21"/>
                <w:highlight w:val="none"/>
              </w:rPr>
              <w:t>.1</w:t>
            </w:r>
          </w:p>
        </w:tc>
        <w:tc>
          <w:tcPr>
            <w:tcW w:w="2545" w:type="dxa"/>
            <w:gridSpan w:val="2"/>
            <w:noWrap w:val="0"/>
            <w:vAlign w:val="center"/>
          </w:tcPr>
          <w:p w14:paraId="4839032F">
            <w:pPr>
              <w:pStyle w:val="24"/>
              <w:spacing w:line="360" w:lineRule="auto"/>
              <w:jc w:val="both"/>
              <w:rPr>
                <w:rFonts w:hint="eastAsia" w:hAnsi="宋体" w:cs="宋体"/>
                <w:sz w:val="21"/>
                <w:szCs w:val="21"/>
              </w:rPr>
            </w:pPr>
            <w:r>
              <w:rPr>
                <w:rFonts w:hint="eastAsia" w:hAnsi="宋体" w:cs="宋体"/>
                <w:sz w:val="21"/>
                <w:szCs w:val="21"/>
              </w:rPr>
              <w:t>谈判时间和地点</w:t>
            </w:r>
          </w:p>
        </w:tc>
        <w:tc>
          <w:tcPr>
            <w:tcW w:w="5688" w:type="dxa"/>
            <w:noWrap w:val="0"/>
            <w:vAlign w:val="center"/>
          </w:tcPr>
          <w:p w14:paraId="172B88B1">
            <w:pPr>
              <w:spacing w:line="360" w:lineRule="auto"/>
              <w:rPr>
                <w:rFonts w:hint="eastAsia" w:ascii="宋体" w:hAnsi="宋体" w:cs="宋体"/>
                <w:szCs w:val="21"/>
              </w:rPr>
            </w:pPr>
            <w:r>
              <w:rPr>
                <w:rFonts w:hint="eastAsia" w:ascii="宋体" w:hAnsi="宋体" w:cs="宋体"/>
                <w:szCs w:val="21"/>
              </w:rPr>
              <w:t>见</w:t>
            </w:r>
            <w:r>
              <w:rPr>
                <w:rFonts w:hint="eastAsia" w:ascii="宋体" w:hAnsi="宋体" w:eastAsia="宋体" w:cs="宋体"/>
                <w:szCs w:val="21"/>
              </w:rPr>
              <w:t>第一章“</w:t>
            </w:r>
            <w:r>
              <w:rPr>
                <w:rFonts w:hint="eastAsia" w:ascii="宋体" w:hAnsi="宋体" w:eastAsia="宋体" w:cs="宋体"/>
                <w:szCs w:val="21"/>
                <w:lang w:val="en-US" w:eastAsia="zh-CN"/>
              </w:rPr>
              <w:t>竞争性谈判公告</w:t>
            </w:r>
            <w:r>
              <w:rPr>
                <w:rFonts w:hint="eastAsia" w:ascii="宋体" w:hAnsi="宋体" w:eastAsia="宋体" w:cs="宋体"/>
                <w:szCs w:val="21"/>
              </w:rPr>
              <w:t>”</w:t>
            </w:r>
            <w:r>
              <w:rPr>
                <w:rFonts w:hint="eastAsia" w:ascii="宋体" w:hAnsi="宋体" w:cs="宋体"/>
                <w:szCs w:val="21"/>
              </w:rPr>
              <w:t>。</w:t>
            </w:r>
          </w:p>
        </w:tc>
      </w:tr>
      <w:tr w14:paraId="22D84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742B316">
            <w:pPr>
              <w:pStyle w:val="24"/>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7</w:t>
            </w:r>
            <w:r>
              <w:rPr>
                <w:rFonts w:hint="eastAsia" w:hAnsi="宋体" w:cs="宋体"/>
                <w:sz w:val="21"/>
                <w:szCs w:val="21"/>
                <w:highlight w:val="none"/>
              </w:rPr>
              <w:t>.2</w:t>
            </w:r>
          </w:p>
        </w:tc>
        <w:tc>
          <w:tcPr>
            <w:tcW w:w="2545" w:type="dxa"/>
            <w:gridSpan w:val="2"/>
            <w:noWrap w:val="0"/>
            <w:vAlign w:val="center"/>
          </w:tcPr>
          <w:p w14:paraId="190FEE18">
            <w:pPr>
              <w:pStyle w:val="24"/>
              <w:spacing w:line="360" w:lineRule="auto"/>
              <w:jc w:val="both"/>
              <w:rPr>
                <w:rFonts w:hint="eastAsia" w:hAnsi="宋体" w:cs="宋体"/>
                <w:sz w:val="21"/>
                <w:szCs w:val="21"/>
              </w:rPr>
            </w:pPr>
            <w:r>
              <w:rPr>
                <w:rFonts w:hint="eastAsia" w:hAnsi="宋体" w:cs="宋体"/>
                <w:sz w:val="21"/>
                <w:szCs w:val="21"/>
              </w:rPr>
              <w:t>谈判小组的组建</w:t>
            </w:r>
          </w:p>
        </w:tc>
        <w:tc>
          <w:tcPr>
            <w:tcW w:w="5688" w:type="dxa"/>
            <w:noWrap w:val="0"/>
            <w:vAlign w:val="center"/>
          </w:tcPr>
          <w:p w14:paraId="667AC1B0">
            <w:pPr>
              <w:spacing w:line="360" w:lineRule="auto"/>
              <w:rPr>
                <w:rFonts w:hint="eastAsia" w:ascii="宋体" w:hAnsi="宋体" w:cs="宋体"/>
              </w:rPr>
            </w:pPr>
            <w:r>
              <w:rPr>
                <w:rFonts w:hint="eastAsia" w:ascii="宋体" w:hAnsi="宋体" w:cs="宋体"/>
              </w:rPr>
              <w:t>谈判小组构成：谈判小组由采购人代表和云南解化清洁能源开发有限公司解化化工分公司专家库中随机抽取产生。</w:t>
            </w:r>
          </w:p>
          <w:p w14:paraId="495114E1">
            <w:pPr>
              <w:spacing w:line="360" w:lineRule="auto"/>
              <w:rPr>
                <w:rFonts w:hint="eastAsia" w:ascii="宋体" w:hAnsi="宋体" w:cs="宋体"/>
                <w:szCs w:val="21"/>
              </w:rPr>
            </w:pPr>
            <w:r>
              <w:rPr>
                <w:rFonts w:hint="eastAsia" w:ascii="宋体" w:hAnsi="宋体" w:cs="宋体"/>
              </w:rPr>
              <w:t>谈判小组成员为：采购人代表1人；抽取专家2人。</w:t>
            </w:r>
          </w:p>
        </w:tc>
      </w:tr>
      <w:tr w14:paraId="1E0B5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706EA99">
            <w:pPr>
              <w:pStyle w:val="24"/>
              <w:spacing w:line="360" w:lineRule="auto"/>
              <w:jc w:val="center"/>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8</w:t>
            </w:r>
            <w:r>
              <w:rPr>
                <w:rFonts w:hint="eastAsia" w:hAnsi="宋体" w:cs="宋体"/>
                <w:sz w:val="21"/>
                <w:szCs w:val="21"/>
                <w:highlight w:val="none"/>
              </w:rPr>
              <w:t>.4</w:t>
            </w:r>
          </w:p>
        </w:tc>
        <w:tc>
          <w:tcPr>
            <w:tcW w:w="2545" w:type="dxa"/>
            <w:gridSpan w:val="2"/>
            <w:noWrap w:val="0"/>
            <w:vAlign w:val="center"/>
          </w:tcPr>
          <w:p w14:paraId="0F9848BE">
            <w:pPr>
              <w:pStyle w:val="24"/>
              <w:spacing w:line="360" w:lineRule="auto"/>
              <w:jc w:val="both"/>
              <w:rPr>
                <w:rFonts w:hint="eastAsia" w:hAnsi="宋体" w:cs="宋体"/>
                <w:sz w:val="21"/>
                <w:szCs w:val="21"/>
              </w:rPr>
            </w:pPr>
            <w:r>
              <w:rPr>
                <w:rFonts w:hint="eastAsia" w:hAnsi="宋体" w:cs="宋体"/>
                <w:sz w:val="21"/>
                <w:szCs w:val="21"/>
              </w:rPr>
              <w:t>谈判程序和方法</w:t>
            </w:r>
          </w:p>
        </w:tc>
        <w:tc>
          <w:tcPr>
            <w:tcW w:w="5688" w:type="dxa"/>
            <w:noWrap w:val="0"/>
            <w:vAlign w:val="center"/>
          </w:tcPr>
          <w:p w14:paraId="1FE2E58C">
            <w:pPr>
              <w:pStyle w:val="24"/>
              <w:spacing w:line="360" w:lineRule="auto"/>
              <w:rPr>
                <w:rFonts w:hint="eastAsia" w:hAnsi="宋体" w:cs="宋体"/>
                <w:sz w:val="21"/>
                <w:szCs w:val="21"/>
              </w:rPr>
            </w:pPr>
            <w:r>
              <w:rPr>
                <w:rFonts w:hint="eastAsia" w:hAnsi="宋体" w:cs="宋体"/>
                <w:sz w:val="21"/>
                <w:szCs w:val="21"/>
              </w:rPr>
              <w:t>详见第六章“谈判程序和方法”</w:t>
            </w:r>
          </w:p>
        </w:tc>
      </w:tr>
      <w:tr w14:paraId="2CDB5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1B239E7F">
            <w:pPr>
              <w:pStyle w:val="24"/>
              <w:spacing w:line="360" w:lineRule="auto"/>
              <w:jc w:val="center"/>
              <w:rPr>
                <w:rFonts w:hint="eastAsia"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lang w:val="en-US" w:eastAsia="zh-CN"/>
              </w:rPr>
              <w:t>3</w:t>
            </w:r>
            <w:r>
              <w:rPr>
                <w:rFonts w:hint="eastAsia" w:hAnsi="宋体" w:cs="宋体"/>
                <w:sz w:val="21"/>
                <w:szCs w:val="21"/>
                <w:highlight w:val="none"/>
              </w:rPr>
              <w:t>.1</w:t>
            </w:r>
          </w:p>
        </w:tc>
        <w:tc>
          <w:tcPr>
            <w:tcW w:w="2545" w:type="dxa"/>
            <w:gridSpan w:val="2"/>
            <w:noWrap w:val="0"/>
            <w:vAlign w:val="center"/>
          </w:tcPr>
          <w:p w14:paraId="303DF974">
            <w:pPr>
              <w:pStyle w:val="24"/>
              <w:spacing w:line="360" w:lineRule="auto"/>
              <w:jc w:val="both"/>
              <w:rPr>
                <w:rFonts w:hint="eastAsia" w:hAnsi="宋体" w:cs="宋体"/>
                <w:sz w:val="21"/>
                <w:szCs w:val="21"/>
              </w:rPr>
            </w:pPr>
            <w:r>
              <w:rPr>
                <w:rFonts w:hint="eastAsia" w:hAnsi="宋体" w:cs="宋体"/>
                <w:sz w:val="21"/>
                <w:szCs w:val="21"/>
              </w:rPr>
              <w:t>履约保证金</w:t>
            </w:r>
          </w:p>
        </w:tc>
        <w:tc>
          <w:tcPr>
            <w:tcW w:w="5688" w:type="dxa"/>
            <w:noWrap w:val="0"/>
            <w:vAlign w:val="center"/>
          </w:tcPr>
          <w:p w14:paraId="19CF6B95">
            <w:pPr>
              <w:pStyle w:val="24"/>
              <w:spacing w:line="360" w:lineRule="auto"/>
              <w:rPr>
                <w:rFonts w:hint="eastAsia" w:hAnsi="宋体" w:cs="宋体"/>
                <w:sz w:val="21"/>
                <w:szCs w:val="21"/>
              </w:rPr>
            </w:pPr>
            <w:r>
              <w:rPr>
                <w:rFonts w:hint="eastAsia" w:hAnsi="宋体" w:cs="宋体"/>
                <w:sz w:val="21"/>
                <w:szCs w:val="21"/>
              </w:rPr>
              <w:t>无</w:t>
            </w:r>
          </w:p>
        </w:tc>
      </w:tr>
      <w:tr w14:paraId="1C54D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2C1952C">
            <w:pPr>
              <w:pStyle w:val="24"/>
              <w:spacing w:line="360" w:lineRule="auto"/>
              <w:jc w:val="center"/>
              <w:rPr>
                <w:rFonts w:hint="eastAsia"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lang w:val="en-US" w:eastAsia="zh-CN"/>
              </w:rPr>
              <w:t>4</w:t>
            </w:r>
            <w:r>
              <w:rPr>
                <w:rFonts w:hint="eastAsia" w:hAnsi="宋体" w:cs="宋体"/>
                <w:sz w:val="21"/>
                <w:szCs w:val="21"/>
                <w:highlight w:val="none"/>
              </w:rPr>
              <w:t>.1</w:t>
            </w:r>
          </w:p>
        </w:tc>
        <w:tc>
          <w:tcPr>
            <w:tcW w:w="8233" w:type="dxa"/>
            <w:gridSpan w:val="3"/>
            <w:noWrap w:val="0"/>
            <w:vAlign w:val="center"/>
          </w:tcPr>
          <w:p w14:paraId="7BE10E84">
            <w:pPr>
              <w:pStyle w:val="24"/>
              <w:spacing w:line="360" w:lineRule="auto"/>
              <w:rPr>
                <w:rFonts w:hint="eastAsia" w:hAnsi="宋体" w:cs="宋体"/>
                <w:sz w:val="21"/>
                <w:szCs w:val="21"/>
              </w:rPr>
            </w:pPr>
            <w:r>
              <w:rPr>
                <w:rFonts w:hint="eastAsia" w:hAnsi="宋体" w:cs="宋体"/>
                <w:sz w:val="21"/>
                <w:szCs w:val="21"/>
              </w:rPr>
              <w:t>需要补充的其他内容</w:t>
            </w:r>
          </w:p>
        </w:tc>
      </w:tr>
      <w:tr w14:paraId="04A79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1260" w:type="dxa"/>
            <w:noWrap w:val="0"/>
            <w:vAlign w:val="center"/>
          </w:tcPr>
          <w:p w14:paraId="200539B2">
            <w:pPr>
              <w:pStyle w:val="24"/>
              <w:spacing w:line="360" w:lineRule="auto"/>
              <w:jc w:val="center"/>
              <w:rPr>
                <w:rFonts w:hint="eastAsia" w:hAnsi="宋体" w:cs="宋体"/>
                <w:sz w:val="21"/>
                <w:szCs w:val="21"/>
              </w:rPr>
            </w:pPr>
            <w:bookmarkStart w:id="92" w:name="_Toc86124040"/>
            <w:r>
              <w:rPr>
                <w:rFonts w:hint="eastAsia" w:hAnsi="宋体" w:cs="宋体"/>
                <w:sz w:val="21"/>
                <w:szCs w:val="21"/>
              </w:rPr>
              <w:t>（1）</w:t>
            </w:r>
          </w:p>
        </w:tc>
        <w:tc>
          <w:tcPr>
            <w:tcW w:w="2545" w:type="dxa"/>
            <w:gridSpan w:val="2"/>
            <w:tcBorders>
              <w:right w:val="single" w:color="auto" w:sz="4" w:space="0"/>
            </w:tcBorders>
            <w:noWrap w:val="0"/>
            <w:vAlign w:val="center"/>
          </w:tcPr>
          <w:p w14:paraId="4404A606">
            <w:pPr>
              <w:pStyle w:val="24"/>
              <w:spacing w:line="360" w:lineRule="auto"/>
              <w:jc w:val="both"/>
              <w:rPr>
                <w:rFonts w:hint="eastAsia" w:hAnsi="宋体" w:cs="宋体"/>
                <w:sz w:val="21"/>
                <w:szCs w:val="21"/>
              </w:rPr>
            </w:pPr>
            <w:r>
              <w:rPr>
                <w:rFonts w:hint="eastAsia" w:hAnsi="宋体" w:cs="宋体"/>
                <w:sz w:val="21"/>
                <w:szCs w:val="21"/>
              </w:rPr>
              <w:t>付款方式</w:t>
            </w:r>
          </w:p>
        </w:tc>
        <w:tc>
          <w:tcPr>
            <w:tcW w:w="5688" w:type="dxa"/>
            <w:tcBorders>
              <w:left w:val="single" w:color="auto" w:sz="4" w:space="0"/>
            </w:tcBorders>
            <w:noWrap w:val="0"/>
            <w:vAlign w:val="center"/>
          </w:tcPr>
          <w:p w14:paraId="3A82C13D">
            <w:pPr>
              <w:jc w:val="both"/>
              <w:rPr>
                <w:rFonts w:hint="eastAsia" w:ascii="Times New Roman" w:hAnsi="宋体" w:eastAsia="宋体" w:cs="宋体"/>
                <w:sz w:val="21"/>
                <w:szCs w:val="21"/>
              </w:rPr>
            </w:pPr>
            <w:r>
              <w:rPr>
                <w:rFonts w:hint="eastAsia" w:ascii="Times New Roman" w:hAnsi="Times New Roman" w:eastAsia="宋体" w:cs="Times New Roman"/>
                <w:szCs w:val="21"/>
                <w:lang w:val="en-US" w:eastAsia="zh-CN"/>
              </w:rPr>
              <w:t>以合同签订为准</w:t>
            </w:r>
          </w:p>
        </w:tc>
      </w:tr>
      <w:tr w14:paraId="57F4E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60" w:type="dxa"/>
            <w:noWrap w:val="0"/>
            <w:vAlign w:val="center"/>
          </w:tcPr>
          <w:p w14:paraId="4F7598CA">
            <w:pPr>
              <w:pStyle w:val="24"/>
              <w:spacing w:line="360" w:lineRule="auto"/>
              <w:jc w:val="center"/>
              <w:rPr>
                <w:rFonts w:hint="eastAsia" w:hAnsi="宋体" w:cs="宋体"/>
                <w:sz w:val="21"/>
                <w:szCs w:val="21"/>
              </w:rPr>
            </w:pPr>
            <w:r>
              <w:rPr>
                <w:rFonts w:hint="eastAsia" w:hAnsi="宋体" w:cs="宋体"/>
                <w:sz w:val="21"/>
                <w:szCs w:val="21"/>
              </w:rPr>
              <w:t>（2）</w:t>
            </w:r>
          </w:p>
        </w:tc>
        <w:tc>
          <w:tcPr>
            <w:tcW w:w="2545" w:type="dxa"/>
            <w:gridSpan w:val="2"/>
            <w:tcBorders>
              <w:right w:val="single" w:color="auto" w:sz="4" w:space="0"/>
            </w:tcBorders>
            <w:noWrap w:val="0"/>
            <w:vAlign w:val="center"/>
          </w:tcPr>
          <w:p w14:paraId="58870A79">
            <w:pPr>
              <w:spacing w:line="360" w:lineRule="auto"/>
              <w:rPr>
                <w:rFonts w:hint="eastAsia" w:ascii="宋体" w:hAnsi="宋体" w:cs="宋体"/>
                <w:szCs w:val="21"/>
              </w:rPr>
            </w:pPr>
            <w:r>
              <w:rPr>
                <w:rFonts w:hint="eastAsia" w:ascii="宋体" w:hAnsi="宋体" w:cs="宋体"/>
              </w:rPr>
              <w:t>解释权</w:t>
            </w:r>
          </w:p>
        </w:tc>
        <w:tc>
          <w:tcPr>
            <w:tcW w:w="5688" w:type="dxa"/>
            <w:tcBorders>
              <w:left w:val="single" w:color="auto" w:sz="4" w:space="0"/>
            </w:tcBorders>
            <w:noWrap w:val="0"/>
            <w:vAlign w:val="center"/>
          </w:tcPr>
          <w:p w14:paraId="7891C82D">
            <w:pPr>
              <w:jc w:val="both"/>
              <w:rPr>
                <w:rFonts w:hint="eastAsia" w:ascii="Times New Roman" w:hAnsi="宋体" w:eastAsia="宋体" w:cs="宋体"/>
                <w:sz w:val="21"/>
                <w:szCs w:val="21"/>
              </w:rPr>
            </w:pPr>
            <w:r>
              <w:rPr>
                <w:rFonts w:hint="eastAsia" w:ascii="Times New Roman" w:hAnsi="宋体" w:eastAsia="宋体" w:cs="宋体"/>
                <w:sz w:val="21"/>
                <w:szCs w:val="21"/>
              </w:rPr>
              <w:t>构成本竞争性谈判文件的各个组成文件应互为解释，互为说明；如有不明确或不一致，构成合同文件组成内容的，以合同文件约定内容为准，且以专用合同条款约定的合同文件优先顺序解释；除竞争性谈判文件中有特别规定外，仅适用于谈判阶段的规定，按谈判邀请、供应商须知、合同书样式及主要条款、响应文件格式、技术标准和要求、谈判程序和方法的先后顺序解释；同一组文件中就同一事项的规定或约定不一致的，以编排顺序在后者为准；同一组文件不同版本之间有不一致的，以形成时间在后者为准。按本款前述规定仍不能形成结论的，由采购人负责解释。</w:t>
            </w:r>
          </w:p>
        </w:tc>
      </w:tr>
    </w:tbl>
    <w:p w14:paraId="0ED56CAA">
      <w:pPr>
        <w:jc w:val="center"/>
        <w:rPr>
          <w:rFonts w:hint="eastAsia" w:ascii="宋体" w:hAnsi="宋体" w:cs="宋体"/>
        </w:rPr>
      </w:pPr>
      <w:r>
        <w:rPr>
          <w:rFonts w:hint="eastAsia" w:ascii="宋体" w:hAnsi="宋体" w:cs="宋体"/>
        </w:rPr>
        <w:br w:type="page"/>
      </w:r>
      <w:bookmarkStart w:id="93" w:name="_Toc347819269"/>
      <w:r>
        <w:rPr>
          <w:rFonts w:hint="eastAsia" w:ascii="宋体" w:hAnsi="宋体" w:cs="宋体"/>
          <w:b/>
          <w:bCs/>
          <w:sz w:val="32"/>
          <w:szCs w:val="32"/>
          <w:lang w:val="en-US" w:eastAsia="zh-CN"/>
        </w:rPr>
        <w:t>二、供应商</w:t>
      </w:r>
      <w:r>
        <w:rPr>
          <w:rFonts w:hint="eastAsia" w:ascii="宋体" w:hAnsi="宋体" w:cs="宋体"/>
          <w:b/>
          <w:bCs/>
          <w:sz w:val="32"/>
          <w:szCs w:val="32"/>
        </w:rPr>
        <w:t>须知正文</w:t>
      </w:r>
      <w:bookmarkEnd w:id="93"/>
    </w:p>
    <w:bookmarkEnd w:id="92"/>
    <w:p w14:paraId="6CB7C032">
      <w:pPr>
        <w:pStyle w:val="3"/>
        <w:bidi w:val="0"/>
        <w:rPr>
          <w:rFonts w:hint="eastAsia"/>
        </w:rPr>
      </w:pPr>
      <w:bookmarkStart w:id="94" w:name="_Toc229"/>
      <w:bookmarkStart w:id="95" w:name="_Toc448349597"/>
      <w:bookmarkStart w:id="96" w:name="_Toc16135"/>
      <w:bookmarkStart w:id="97" w:name="_Toc42090046"/>
      <w:r>
        <w:rPr>
          <w:rFonts w:hint="eastAsia"/>
          <w:lang w:eastAsia="zh-CN"/>
        </w:rPr>
        <w:t>（</w:t>
      </w:r>
      <w:r>
        <w:rPr>
          <w:rFonts w:hint="eastAsia"/>
        </w:rPr>
        <w:t>一</w:t>
      </w:r>
      <w:r>
        <w:rPr>
          <w:rFonts w:hint="eastAsia"/>
          <w:lang w:eastAsia="zh-CN"/>
        </w:rPr>
        <w:t>）</w:t>
      </w:r>
      <w:r>
        <w:rPr>
          <w:rFonts w:hint="eastAsia"/>
        </w:rPr>
        <w:t>总  则</w:t>
      </w:r>
      <w:bookmarkEnd w:id="94"/>
      <w:bookmarkEnd w:id="95"/>
      <w:bookmarkEnd w:id="96"/>
      <w:bookmarkEnd w:id="97"/>
    </w:p>
    <w:p w14:paraId="5316BD22">
      <w:pPr>
        <w:pStyle w:val="4"/>
        <w:numPr>
          <w:ilvl w:val="0"/>
          <w:numId w:val="10"/>
        </w:numPr>
        <w:spacing w:line="360" w:lineRule="exact"/>
        <w:ind w:firstLineChars="0"/>
        <w:jc w:val="both"/>
        <w:rPr>
          <w:rFonts w:hint="eastAsia" w:hAnsi="宋体" w:cs="宋体"/>
          <w:sz w:val="21"/>
          <w:szCs w:val="21"/>
        </w:rPr>
      </w:pPr>
      <w:bookmarkStart w:id="98" w:name="_Toc448349598"/>
      <w:bookmarkStart w:id="99" w:name="_Toc42090047"/>
      <w:bookmarkStart w:id="100" w:name="_Toc496376639"/>
      <w:bookmarkStart w:id="101" w:name="_Toc497409763"/>
      <w:bookmarkStart w:id="102" w:name="_Toc384279648"/>
      <w:bookmarkStart w:id="103" w:name="_Toc329810186"/>
      <w:r>
        <w:rPr>
          <w:rFonts w:hint="eastAsia" w:hAnsi="宋体" w:cs="宋体"/>
          <w:sz w:val="21"/>
          <w:szCs w:val="21"/>
        </w:rPr>
        <w:t>项目概况</w:t>
      </w:r>
      <w:bookmarkEnd w:id="98"/>
      <w:bookmarkEnd w:id="99"/>
      <w:bookmarkEnd w:id="100"/>
      <w:bookmarkEnd w:id="101"/>
      <w:bookmarkEnd w:id="102"/>
      <w:bookmarkEnd w:id="103"/>
    </w:p>
    <w:p w14:paraId="6CD2975C">
      <w:pPr>
        <w:spacing w:line="400" w:lineRule="exact"/>
        <w:ind w:firstLine="420" w:firstLineChars="200"/>
        <w:jc w:val="left"/>
        <w:rPr>
          <w:rFonts w:hint="eastAsia" w:ascii="宋体" w:hAnsi="宋体" w:cs="宋体"/>
          <w:szCs w:val="21"/>
        </w:rPr>
      </w:pPr>
      <w:r>
        <w:rPr>
          <w:rFonts w:hint="eastAsia" w:ascii="宋体" w:hAnsi="宋体" w:cs="宋体"/>
          <w:szCs w:val="21"/>
        </w:rPr>
        <w:t>1.1 参照有关法律法规的规定，现对本次采购进行邀请竞争性谈判采购。</w:t>
      </w:r>
    </w:p>
    <w:p w14:paraId="3BDD24E3">
      <w:pPr>
        <w:spacing w:line="400" w:lineRule="exact"/>
        <w:ind w:firstLine="420" w:firstLineChars="200"/>
        <w:jc w:val="left"/>
        <w:rPr>
          <w:rFonts w:hint="eastAsia" w:ascii="宋体" w:hAnsi="宋体" w:cs="宋体"/>
          <w:szCs w:val="21"/>
        </w:rPr>
      </w:pPr>
      <w:r>
        <w:rPr>
          <w:rFonts w:hint="eastAsia" w:ascii="宋体" w:hAnsi="宋体" w:cs="宋体"/>
          <w:szCs w:val="21"/>
        </w:rPr>
        <w:t>1.2 本项目采购人、项目名称及项目编号：见“</w:t>
      </w:r>
      <w:r>
        <w:rPr>
          <w:rFonts w:hint="eastAsia" w:ascii="宋体" w:hAnsi="宋体" w:cs="宋体"/>
          <w:b/>
          <w:bCs/>
          <w:szCs w:val="21"/>
        </w:rPr>
        <w:t>供应商须知前附表</w:t>
      </w:r>
      <w:r>
        <w:rPr>
          <w:rFonts w:hint="eastAsia" w:ascii="宋体" w:hAnsi="宋体" w:cs="宋体"/>
          <w:szCs w:val="21"/>
        </w:rPr>
        <w:t>”。</w:t>
      </w:r>
    </w:p>
    <w:p w14:paraId="40734F98">
      <w:pPr>
        <w:pStyle w:val="4"/>
        <w:numPr>
          <w:ilvl w:val="0"/>
          <w:numId w:val="10"/>
        </w:numPr>
        <w:spacing w:line="360" w:lineRule="exact"/>
        <w:ind w:firstLineChars="0"/>
        <w:jc w:val="both"/>
        <w:rPr>
          <w:rFonts w:hint="eastAsia" w:hAnsi="宋体" w:cs="宋体"/>
          <w:sz w:val="21"/>
          <w:szCs w:val="21"/>
        </w:rPr>
      </w:pPr>
      <w:bookmarkStart w:id="104" w:name="_Toc42090048"/>
      <w:bookmarkStart w:id="105" w:name="_Toc384279649"/>
      <w:bookmarkStart w:id="106" w:name="_Toc329810187"/>
      <w:bookmarkStart w:id="107" w:name="_Toc448349599"/>
      <w:bookmarkStart w:id="108" w:name="_Toc265142411"/>
      <w:bookmarkStart w:id="109" w:name="_Toc496376640"/>
      <w:bookmarkStart w:id="110" w:name="_Toc497409764"/>
      <w:r>
        <w:rPr>
          <w:rFonts w:hint="eastAsia" w:hAnsi="宋体" w:cs="宋体"/>
          <w:sz w:val="21"/>
          <w:szCs w:val="21"/>
        </w:rPr>
        <w:t>资金来源</w:t>
      </w:r>
      <w:bookmarkEnd w:id="104"/>
      <w:bookmarkEnd w:id="105"/>
      <w:bookmarkEnd w:id="106"/>
      <w:bookmarkEnd w:id="107"/>
      <w:bookmarkEnd w:id="108"/>
      <w:bookmarkEnd w:id="109"/>
      <w:bookmarkEnd w:id="110"/>
    </w:p>
    <w:p w14:paraId="2E09208B">
      <w:pPr>
        <w:spacing w:line="400" w:lineRule="exact"/>
        <w:ind w:firstLine="420" w:firstLineChars="200"/>
        <w:jc w:val="left"/>
        <w:rPr>
          <w:rFonts w:hint="eastAsia" w:ascii="宋体" w:hAnsi="宋体" w:cs="宋体"/>
          <w:szCs w:val="21"/>
        </w:rPr>
      </w:pPr>
      <w:r>
        <w:rPr>
          <w:rFonts w:hint="eastAsia" w:ascii="宋体" w:hAnsi="宋体" w:cs="宋体"/>
          <w:szCs w:val="21"/>
        </w:rPr>
        <w:t>2.1</w:t>
      </w:r>
      <w:r>
        <w:rPr>
          <w:rFonts w:hint="eastAsia" w:ascii="宋体" w:hAnsi="宋体" w:cs="宋体"/>
          <w:szCs w:val="21"/>
          <w:lang w:val="en-US" w:eastAsia="zh-CN"/>
        </w:rPr>
        <w:t>资金来源：</w:t>
      </w:r>
      <w:r>
        <w:rPr>
          <w:rFonts w:hint="eastAsia" w:ascii="宋体" w:hAnsi="宋体" w:cs="宋体"/>
          <w:szCs w:val="21"/>
        </w:rPr>
        <w:t>企业自筹。</w:t>
      </w:r>
    </w:p>
    <w:p w14:paraId="77EA4450">
      <w:pPr>
        <w:pStyle w:val="4"/>
        <w:numPr>
          <w:ilvl w:val="0"/>
          <w:numId w:val="10"/>
        </w:numPr>
        <w:spacing w:line="360" w:lineRule="exact"/>
        <w:ind w:firstLineChars="0"/>
        <w:jc w:val="both"/>
        <w:rPr>
          <w:rFonts w:hint="eastAsia" w:hAnsi="宋体" w:cs="宋体"/>
          <w:sz w:val="21"/>
          <w:szCs w:val="21"/>
        </w:rPr>
      </w:pPr>
      <w:r>
        <w:rPr>
          <w:rFonts w:hint="eastAsia" w:hAnsi="宋体" w:cs="宋体"/>
          <w:sz w:val="21"/>
          <w:szCs w:val="21"/>
          <w:lang w:val="en-US" w:eastAsia="zh-CN"/>
        </w:rPr>
        <w:t>项目内容、质量要求</w:t>
      </w:r>
      <w:r>
        <w:rPr>
          <w:rFonts w:hint="eastAsia" w:ascii="宋体" w:hAnsi="宋体" w:eastAsia="宋体" w:cs="宋体"/>
          <w:b/>
          <w:bCs/>
          <w:sz w:val="21"/>
          <w:szCs w:val="21"/>
          <w:lang w:val="en-US" w:eastAsia="zh-CN"/>
        </w:rPr>
        <w:t>、服务期限、服务及交付地点</w:t>
      </w:r>
    </w:p>
    <w:p w14:paraId="1083D99D">
      <w:pPr>
        <w:spacing w:line="360" w:lineRule="auto"/>
        <w:ind w:firstLine="420" w:firstLineChars="200"/>
        <w:jc w:val="left"/>
        <w:rPr>
          <w:rFonts w:hint="eastAsia" w:ascii="宋体" w:hAnsi="宋体" w:cs="宋体"/>
          <w:szCs w:val="21"/>
        </w:rPr>
      </w:pPr>
      <w:r>
        <w:rPr>
          <w:rFonts w:hint="eastAsia" w:ascii="宋体" w:hAnsi="宋体" w:cs="宋体"/>
          <w:szCs w:val="21"/>
        </w:rPr>
        <w:t>3.1 本项目</w:t>
      </w:r>
      <w:r>
        <w:rPr>
          <w:rFonts w:hint="eastAsia" w:ascii="宋体" w:hAnsi="宋体" w:cs="宋体"/>
          <w:szCs w:val="21"/>
          <w:lang w:val="en-US" w:eastAsia="zh-CN"/>
        </w:rPr>
        <w:t>项目</w:t>
      </w:r>
      <w:r>
        <w:rPr>
          <w:rFonts w:hint="eastAsia" w:ascii="宋体" w:hAnsi="宋体" w:cs="宋体"/>
          <w:szCs w:val="21"/>
        </w:rPr>
        <w:t>内容：见“</w:t>
      </w:r>
      <w:r>
        <w:rPr>
          <w:rFonts w:hint="eastAsia" w:ascii="宋体" w:hAnsi="宋体" w:cs="宋体"/>
          <w:b/>
          <w:bCs/>
          <w:szCs w:val="21"/>
        </w:rPr>
        <w:t>供应商须知前附表</w:t>
      </w:r>
      <w:r>
        <w:rPr>
          <w:rFonts w:hint="eastAsia" w:ascii="宋体" w:hAnsi="宋体" w:cs="宋体"/>
          <w:szCs w:val="21"/>
        </w:rPr>
        <w:t>”。</w:t>
      </w:r>
    </w:p>
    <w:p w14:paraId="267B572F">
      <w:pPr>
        <w:spacing w:line="360" w:lineRule="auto"/>
        <w:ind w:firstLine="420" w:firstLineChars="200"/>
        <w:jc w:val="left"/>
        <w:rPr>
          <w:rFonts w:hint="eastAsia" w:ascii="宋体" w:hAnsi="宋体" w:cs="宋体"/>
          <w:szCs w:val="21"/>
        </w:rPr>
      </w:pPr>
      <w:r>
        <w:rPr>
          <w:rFonts w:hint="eastAsia" w:ascii="宋体" w:hAnsi="宋体" w:cs="宋体"/>
          <w:szCs w:val="21"/>
        </w:rPr>
        <w:t>3.2 本项目</w:t>
      </w:r>
      <w:r>
        <w:rPr>
          <w:rFonts w:hint="eastAsia" w:ascii="宋体" w:hAnsi="宋体" w:eastAsia="宋体" w:cs="宋体"/>
          <w:b/>
          <w:bCs/>
          <w:sz w:val="21"/>
          <w:szCs w:val="21"/>
          <w:lang w:val="en-US" w:eastAsia="zh-CN"/>
        </w:rPr>
        <w:t>服务期限、服务及交付地点</w:t>
      </w:r>
      <w:r>
        <w:rPr>
          <w:rFonts w:hint="eastAsia" w:ascii="宋体" w:hAnsi="宋体" w:cs="宋体"/>
          <w:szCs w:val="21"/>
        </w:rPr>
        <w:t>：见“</w:t>
      </w:r>
      <w:r>
        <w:rPr>
          <w:rFonts w:hint="eastAsia" w:ascii="宋体" w:hAnsi="宋体" w:cs="宋体"/>
          <w:b/>
          <w:bCs/>
          <w:szCs w:val="21"/>
        </w:rPr>
        <w:t>供应商须知前附表</w:t>
      </w:r>
      <w:r>
        <w:rPr>
          <w:rFonts w:hint="eastAsia" w:ascii="宋体" w:hAnsi="宋体" w:cs="宋体"/>
          <w:szCs w:val="21"/>
        </w:rPr>
        <w:t>”。</w:t>
      </w:r>
    </w:p>
    <w:p w14:paraId="543238D0">
      <w:pPr>
        <w:spacing w:line="360" w:lineRule="auto"/>
        <w:ind w:firstLine="420" w:firstLineChars="200"/>
        <w:jc w:val="left"/>
        <w:rPr>
          <w:rFonts w:hint="eastAsia" w:ascii="宋体" w:hAnsi="宋体" w:cs="宋体"/>
          <w:szCs w:val="21"/>
        </w:rPr>
      </w:pPr>
      <w:r>
        <w:rPr>
          <w:rFonts w:hint="eastAsia" w:ascii="宋体" w:hAnsi="宋体" w:cs="宋体"/>
          <w:szCs w:val="21"/>
        </w:rPr>
        <w:t>3.3 本项目质量要求：见“</w:t>
      </w:r>
      <w:r>
        <w:rPr>
          <w:rFonts w:hint="eastAsia" w:ascii="宋体" w:hAnsi="宋体" w:cs="宋体"/>
          <w:b/>
          <w:bCs/>
          <w:szCs w:val="21"/>
        </w:rPr>
        <w:t>供应商须知前附表</w:t>
      </w:r>
      <w:r>
        <w:rPr>
          <w:rFonts w:hint="eastAsia" w:ascii="宋体" w:hAnsi="宋体" w:cs="宋体"/>
          <w:szCs w:val="21"/>
        </w:rPr>
        <w:t>”。</w:t>
      </w:r>
    </w:p>
    <w:p w14:paraId="0C816193">
      <w:pPr>
        <w:pStyle w:val="4"/>
        <w:numPr>
          <w:ilvl w:val="0"/>
          <w:numId w:val="10"/>
        </w:numPr>
        <w:spacing w:before="0" w:after="0" w:line="360" w:lineRule="exact"/>
        <w:ind w:firstLineChars="0"/>
        <w:jc w:val="both"/>
        <w:rPr>
          <w:rFonts w:hint="eastAsia" w:hAnsi="宋体" w:cs="宋体"/>
          <w:sz w:val="21"/>
          <w:szCs w:val="21"/>
        </w:rPr>
      </w:pPr>
      <w:bookmarkStart w:id="111" w:name="_Toc448349601"/>
      <w:bookmarkStart w:id="112" w:name="_Toc42090050"/>
      <w:bookmarkStart w:id="113" w:name="_Toc329810189"/>
      <w:bookmarkStart w:id="114" w:name="_Toc497409766"/>
      <w:bookmarkStart w:id="115" w:name="_Toc384279651"/>
      <w:bookmarkStart w:id="116" w:name="_Toc496376642"/>
      <w:r>
        <w:rPr>
          <w:rFonts w:hint="eastAsia" w:hAnsi="宋体" w:cs="宋体"/>
          <w:sz w:val="21"/>
          <w:szCs w:val="21"/>
        </w:rPr>
        <w:t>★合格的供应商（以下简称供应商）</w:t>
      </w:r>
      <w:bookmarkEnd w:id="111"/>
      <w:bookmarkEnd w:id="112"/>
      <w:bookmarkEnd w:id="113"/>
      <w:bookmarkEnd w:id="114"/>
      <w:bookmarkEnd w:id="115"/>
      <w:bookmarkEnd w:id="116"/>
    </w:p>
    <w:p w14:paraId="1A646F07">
      <w:pPr>
        <w:spacing w:line="360" w:lineRule="exact"/>
        <w:ind w:firstLine="420" w:firstLineChars="200"/>
        <w:rPr>
          <w:rFonts w:hint="eastAsia" w:ascii="宋体" w:hAnsi="宋体" w:cs="宋体"/>
          <w:szCs w:val="21"/>
        </w:rPr>
      </w:pPr>
      <w:r>
        <w:rPr>
          <w:rFonts w:hint="eastAsia" w:ascii="宋体" w:hAnsi="宋体" w:cs="宋体"/>
          <w:szCs w:val="21"/>
        </w:rPr>
        <w:t xml:space="preserve">4.1供应商资格要求：详见谈判文件第一章 </w:t>
      </w:r>
      <w:r>
        <w:rPr>
          <w:rFonts w:hint="eastAsia" w:ascii="宋体" w:hAnsi="宋体" w:eastAsia="宋体" w:cs="宋体"/>
          <w:szCs w:val="21"/>
          <w:lang w:val="en-US" w:eastAsia="zh-CN"/>
        </w:rPr>
        <w:t>竞争性谈判公告</w:t>
      </w:r>
      <w:r>
        <w:rPr>
          <w:rFonts w:hint="eastAsia" w:ascii="宋体" w:hAnsi="宋体" w:cs="宋体"/>
          <w:szCs w:val="21"/>
        </w:rPr>
        <w:t xml:space="preserve">  “3. 供应商资格要求”。</w:t>
      </w:r>
    </w:p>
    <w:p w14:paraId="4B993933">
      <w:pPr>
        <w:pStyle w:val="4"/>
        <w:numPr>
          <w:ilvl w:val="0"/>
          <w:numId w:val="10"/>
        </w:numPr>
        <w:spacing w:before="0" w:after="0" w:line="360" w:lineRule="exact"/>
        <w:ind w:firstLineChars="0"/>
        <w:jc w:val="both"/>
        <w:rPr>
          <w:rFonts w:hint="eastAsia" w:hAnsi="宋体" w:cs="宋体"/>
          <w:sz w:val="21"/>
          <w:szCs w:val="21"/>
        </w:rPr>
      </w:pPr>
      <w:bookmarkStart w:id="117" w:name="_Hlt200176664"/>
      <w:bookmarkEnd w:id="117"/>
      <w:bookmarkStart w:id="118" w:name="_Toc384279652"/>
      <w:bookmarkStart w:id="119" w:name="_Toc329810190"/>
      <w:bookmarkStart w:id="120" w:name="_Toc497409767"/>
      <w:bookmarkStart w:id="121" w:name="_Toc448349602"/>
      <w:bookmarkStart w:id="122" w:name="_Toc42090051"/>
      <w:bookmarkStart w:id="123" w:name="_Toc496376643"/>
      <w:r>
        <w:rPr>
          <w:rFonts w:hint="eastAsia" w:hAnsi="宋体" w:cs="宋体"/>
          <w:sz w:val="21"/>
          <w:szCs w:val="21"/>
        </w:rPr>
        <w:t>谈判费用</w:t>
      </w:r>
      <w:bookmarkEnd w:id="118"/>
      <w:bookmarkEnd w:id="119"/>
      <w:bookmarkEnd w:id="120"/>
      <w:bookmarkEnd w:id="121"/>
      <w:bookmarkEnd w:id="122"/>
      <w:bookmarkEnd w:id="123"/>
    </w:p>
    <w:p w14:paraId="118154A9">
      <w:pPr>
        <w:spacing w:line="360" w:lineRule="exact"/>
        <w:ind w:firstLine="420" w:firstLineChars="200"/>
        <w:rPr>
          <w:rFonts w:hint="eastAsia" w:ascii="宋体" w:hAnsi="宋体" w:cs="宋体"/>
          <w:szCs w:val="21"/>
        </w:rPr>
      </w:pPr>
      <w:r>
        <w:rPr>
          <w:rFonts w:hint="eastAsia" w:ascii="宋体" w:hAnsi="宋体" w:cs="宋体"/>
          <w:szCs w:val="21"/>
        </w:rPr>
        <w:t>无论是否成交，供应商自行承担所有与参加谈判有关的全部费用。</w:t>
      </w:r>
    </w:p>
    <w:p w14:paraId="3D6CD01E">
      <w:pPr>
        <w:pStyle w:val="4"/>
        <w:numPr>
          <w:ilvl w:val="0"/>
          <w:numId w:val="10"/>
        </w:numPr>
        <w:spacing w:before="0" w:after="0" w:line="360" w:lineRule="exact"/>
        <w:ind w:firstLineChars="0"/>
        <w:jc w:val="both"/>
        <w:rPr>
          <w:rFonts w:hint="eastAsia" w:hAnsi="宋体" w:cs="宋体"/>
          <w:sz w:val="21"/>
          <w:szCs w:val="21"/>
        </w:rPr>
      </w:pPr>
      <w:bookmarkStart w:id="124" w:name="_Toc3974"/>
      <w:bookmarkStart w:id="125" w:name="_Toc6532"/>
      <w:bookmarkStart w:id="126" w:name="_Toc22229"/>
      <w:r>
        <w:rPr>
          <w:rFonts w:hint="eastAsia" w:ascii="宋体" w:hAnsi="宋体" w:eastAsia="宋体" w:cs="宋体"/>
          <w:b/>
          <w:bCs/>
          <w:sz w:val="21"/>
          <w:szCs w:val="21"/>
        </w:rPr>
        <w:t>踏勘</w:t>
      </w:r>
      <w:r>
        <w:rPr>
          <w:rFonts w:hint="eastAsia" w:hAnsi="宋体" w:cs="宋体"/>
          <w:sz w:val="21"/>
          <w:szCs w:val="21"/>
        </w:rPr>
        <w:t>现场</w:t>
      </w:r>
      <w:bookmarkEnd w:id="124"/>
      <w:bookmarkEnd w:id="125"/>
      <w:bookmarkEnd w:id="126"/>
    </w:p>
    <w:p w14:paraId="505F36D2">
      <w:pPr>
        <w:spacing w:line="360" w:lineRule="auto"/>
        <w:ind w:firstLine="420" w:firstLineChars="200"/>
        <w:rPr>
          <w:rFonts w:hint="eastAsia" w:ascii="宋体" w:hAnsi="宋体" w:cs="宋体"/>
          <w:szCs w:val="21"/>
        </w:rPr>
      </w:pPr>
      <w:r>
        <w:rPr>
          <w:rFonts w:hint="eastAsia" w:ascii="宋体" w:hAnsi="宋体" w:cs="宋体"/>
          <w:szCs w:val="21"/>
        </w:rPr>
        <w:t>6.1采购人不组织统一踏勘现场，供应商可视项目情况自行决定是否到现场踏勘。</w:t>
      </w:r>
    </w:p>
    <w:p w14:paraId="2670F490">
      <w:pPr>
        <w:spacing w:line="360" w:lineRule="auto"/>
        <w:ind w:firstLine="420" w:firstLineChars="200"/>
        <w:rPr>
          <w:rFonts w:hint="eastAsia" w:ascii="宋体" w:hAnsi="宋体" w:cs="宋体"/>
          <w:szCs w:val="21"/>
        </w:rPr>
      </w:pPr>
      <w:r>
        <w:rPr>
          <w:rFonts w:hint="eastAsia" w:ascii="宋体" w:hAnsi="宋体" w:cs="宋体"/>
          <w:szCs w:val="21"/>
        </w:rPr>
        <w:t>6.2供应商踏勘现场发生的费用自理。</w:t>
      </w:r>
    </w:p>
    <w:p w14:paraId="68EF21E4">
      <w:pPr>
        <w:spacing w:line="360" w:lineRule="auto"/>
        <w:ind w:firstLine="420" w:firstLineChars="200"/>
        <w:rPr>
          <w:rFonts w:hint="eastAsia" w:ascii="宋体" w:hAnsi="宋体" w:cs="宋体"/>
          <w:szCs w:val="21"/>
        </w:rPr>
      </w:pPr>
      <w:r>
        <w:rPr>
          <w:rFonts w:hint="eastAsia" w:ascii="宋体" w:hAnsi="宋体" w:cs="宋体"/>
          <w:szCs w:val="21"/>
        </w:rPr>
        <w:t>6.3供应商自行负责在踏勘现场中所发生的人员伤亡和财产损失。</w:t>
      </w:r>
    </w:p>
    <w:p w14:paraId="3AA124B2">
      <w:pPr>
        <w:spacing w:line="360" w:lineRule="exact"/>
        <w:ind w:firstLine="420" w:firstLineChars="200"/>
        <w:rPr>
          <w:rFonts w:hint="eastAsia" w:ascii="宋体" w:hAnsi="宋体" w:cs="宋体"/>
          <w:szCs w:val="21"/>
          <w:lang w:val="en-US" w:eastAsia="zh-CN"/>
        </w:rPr>
      </w:pPr>
      <w:r>
        <w:rPr>
          <w:rFonts w:hint="eastAsia" w:ascii="宋体" w:hAnsi="宋体" w:cs="宋体"/>
          <w:szCs w:val="21"/>
        </w:rPr>
        <w:t>6.4采购人如在踏勘现场中介绍的工程场地和相关的周边环境情况，供供应商在编制响应文件时参考，采购人不对供应商据此作出的判断和决策负责。</w:t>
      </w:r>
    </w:p>
    <w:p w14:paraId="32A06474">
      <w:pPr>
        <w:pStyle w:val="4"/>
        <w:numPr>
          <w:ilvl w:val="0"/>
          <w:numId w:val="10"/>
        </w:numPr>
        <w:spacing w:before="0" w:after="0" w:line="360" w:lineRule="exact"/>
        <w:ind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分包</w:t>
      </w:r>
    </w:p>
    <w:p w14:paraId="0FBD0254">
      <w:pPr>
        <w:spacing w:line="360" w:lineRule="exact"/>
        <w:ind w:firstLine="420" w:firstLineChars="200"/>
        <w:rPr>
          <w:rFonts w:hint="default" w:ascii="宋体" w:hAnsi="宋体" w:cs="宋体"/>
          <w:szCs w:val="21"/>
          <w:lang w:val="en-US" w:eastAsia="zh-CN"/>
        </w:rPr>
      </w:pPr>
      <w:r>
        <w:rPr>
          <w:rFonts w:hint="eastAsia" w:ascii="宋体" w:hAnsi="宋体" w:cs="宋体"/>
          <w:szCs w:val="21"/>
        </w:rPr>
        <w:t>是否允许分包，见</w:t>
      </w:r>
      <w:r>
        <w:rPr>
          <w:rFonts w:hint="eastAsia" w:ascii="宋体" w:hAnsi="宋体" w:cs="宋体"/>
          <w:b/>
          <w:bCs/>
          <w:szCs w:val="21"/>
        </w:rPr>
        <w:t>“供应商须知前附表”。</w:t>
      </w:r>
    </w:p>
    <w:p w14:paraId="61B02653">
      <w:pPr>
        <w:pStyle w:val="3"/>
        <w:spacing w:before="0" w:line="240" w:lineRule="auto"/>
        <w:rPr>
          <w:rFonts w:hint="eastAsia" w:ascii="宋体" w:hAnsi="宋体" w:cs="宋体"/>
          <w:szCs w:val="28"/>
        </w:rPr>
      </w:pPr>
      <w:bookmarkStart w:id="127" w:name="_Toc3178"/>
      <w:bookmarkStart w:id="128" w:name="_Toc42090052"/>
      <w:bookmarkStart w:id="129" w:name="_Toc448349603"/>
      <w:bookmarkStart w:id="130" w:name="_Toc22306"/>
      <w:bookmarkStart w:id="131" w:name="_Toc86124047"/>
      <w:r>
        <w:rPr>
          <w:rFonts w:hint="eastAsia" w:ascii="宋体" w:hAnsi="宋体" w:cs="宋体"/>
          <w:szCs w:val="28"/>
        </w:rPr>
        <w:t>二、谈判文件</w:t>
      </w:r>
      <w:bookmarkEnd w:id="127"/>
      <w:bookmarkEnd w:id="128"/>
      <w:bookmarkEnd w:id="129"/>
      <w:bookmarkEnd w:id="130"/>
      <w:bookmarkEnd w:id="131"/>
    </w:p>
    <w:p w14:paraId="0D8C5D25">
      <w:pPr>
        <w:pStyle w:val="4"/>
        <w:numPr>
          <w:ilvl w:val="0"/>
          <w:numId w:val="10"/>
        </w:numPr>
        <w:spacing w:before="0" w:after="0" w:line="360" w:lineRule="exact"/>
        <w:ind w:firstLineChars="0"/>
        <w:jc w:val="both"/>
        <w:rPr>
          <w:rFonts w:hint="eastAsia" w:hAnsi="宋体" w:cs="宋体"/>
          <w:sz w:val="21"/>
          <w:szCs w:val="21"/>
        </w:rPr>
      </w:pPr>
      <w:bookmarkStart w:id="132" w:name="_Toc497409769"/>
      <w:bookmarkStart w:id="133" w:name="_Toc448349604"/>
      <w:bookmarkStart w:id="134" w:name="_Toc42090053"/>
      <w:bookmarkStart w:id="135" w:name="_Toc329810192"/>
      <w:bookmarkStart w:id="136" w:name="_Toc496376645"/>
      <w:bookmarkStart w:id="137" w:name="_Toc384279654"/>
      <w:r>
        <w:rPr>
          <w:rFonts w:hint="eastAsia" w:hAnsi="宋体" w:cs="宋体"/>
          <w:sz w:val="21"/>
          <w:szCs w:val="21"/>
        </w:rPr>
        <w:t>谈判文件的组成</w:t>
      </w:r>
      <w:bookmarkEnd w:id="132"/>
      <w:bookmarkEnd w:id="133"/>
      <w:bookmarkEnd w:id="134"/>
      <w:bookmarkEnd w:id="135"/>
      <w:bookmarkEnd w:id="136"/>
      <w:bookmarkEnd w:id="137"/>
    </w:p>
    <w:p w14:paraId="34E255DF">
      <w:pPr>
        <w:spacing w:line="360" w:lineRule="auto"/>
        <w:ind w:left="502"/>
        <w:jc w:val="left"/>
        <w:rPr>
          <w:rFonts w:hint="eastAsia" w:ascii="宋体" w:hAnsi="宋体" w:cs="宋体"/>
          <w:szCs w:val="21"/>
        </w:rPr>
      </w:pPr>
      <w:r>
        <w:rPr>
          <w:rFonts w:hint="eastAsia" w:ascii="宋体" w:hAnsi="宋体" w:cs="宋体"/>
          <w:szCs w:val="21"/>
        </w:rPr>
        <w:t>谈判文件共六章，各章的内容如下：</w:t>
      </w:r>
    </w:p>
    <w:p w14:paraId="084830CB">
      <w:pPr>
        <w:spacing w:line="360" w:lineRule="auto"/>
        <w:ind w:left="502"/>
        <w:jc w:val="left"/>
        <w:rPr>
          <w:rFonts w:hint="eastAsia" w:ascii="宋体" w:hAnsi="宋体" w:cs="宋体"/>
          <w:szCs w:val="21"/>
        </w:rPr>
      </w:pPr>
      <w:r>
        <w:rPr>
          <w:rFonts w:hint="eastAsia" w:ascii="宋体" w:hAnsi="宋体" w:cs="宋体"/>
          <w:szCs w:val="21"/>
        </w:rPr>
        <w:t xml:space="preserve">第一章  </w:t>
      </w:r>
      <w:r>
        <w:rPr>
          <w:rFonts w:hint="eastAsia" w:ascii="宋体" w:hAnsi="宋体" w:eastAsia="宋体" w:cs="宋体"/>
          <w:szCs w:val="21"/>
          <w:lang w:val="en-US" w:eastAsia="zh-CN"/>
        </w:rPr>
        <w:t>竞争性谈判公告</w:t>
      </w:r>
    </w:p>
    <w:p w14:paraId="273E211B">
      <w:pPr>
        <w:spacing w:line="360" w:lineRule="auto"/>
        <w:ind w:left="502"/>
        <w:jc w:val="left"/>
        <w:rPr>
          <w:rFonts w:hint="eastAsia" w:ascii="宋体" w:hAnsi="宋体" w:cs="宋体"/>
          <w:szCs w:val="21"/>
        </w:rPr>
      </w:pPr>
      <w:r>
        <w:rPr>
          <w:rFonts w:hint="eastAsia" w:ascii="宋体" w:hAnsi="宋体" w:cs="宋体"/>
          <w:szCs w:val="21"/>
        </w:rPr>
        <w:t>第二章  供应商须知</w:t>
      </w:r>
    </w:p>
    <w:p w14:paraId="1E2CF32F">
      <w:pPr>
        <w:spacing w:line="360" w:lineRule="auto"/>
        <w:ind w:left="502"/>
        <w:jc w:val="left"/>
        <w:rPr>
          <w:rFonts w:hint="eastAsia" w:ascii="宋体" w:hAnsi="宋体" w:cs="宋体"/>
          <w:szCs w:val="21"/>
        </w:rPr>
      </w:pPr>
      <w:r>
        <w:rPr>
          <w:rFonts w:hint="eastAsia" w:ascii="宋体" w:hAnsi="宋体" w:cs="宋体"/>
          <w:szCs w:val="21"/>
        </w:rPr>
        <w:t>第三章  合同书样式及主要条款</w:t>
      </w:r>
    </w:p>
    <w:p w14:paraId="60E050C7">
      <w:pPr>
        <w:spacing w:line="360" w:lineRule="auto"/>
        <w:ind w:left="502"/>
        <w:jc w:val="left"/>
        <w:rPr>
          <w:rFonts w:hint="eastAsia" w:ascii="宋体" w:hAnsi="宋体" w:cs="宋体"/>
          <w:szCs w:val="21"/>
        </w:rPr>
      </w:pPr>
      <w:r>
        <w:rPr>
          <w:rFonts w:hint="eastAsia" w:ascii="宋体" w:hAnsi="宋体" w:cs="宋体"/>
          <w:szCs w:val="21"/>
        </w:rPr>
        <w:t>第四章  响应文件格式</w:t>
      </w:r>
    </w:p>
    <w:p w14:paraId="0D939D9A">
      <w:pPr>
        <w:spacing w:line="360" w:lineRule="auto"/>
        <w:ind w:left="502"/>
        <w:jc w:val="left"/>
        <w:rPr>
          <w:rFonts w:hint="eastAsia" w:ascii="宋体" w:hAnsi="宋体" w:eastAsia="宋体" w:cs="宋体"/>
          <w:szCs w:val="21"/>
          <w:lang w:eastAsia="zh-CN"/>
        </w:rPr>
      </w:pPr>
      <w:r>
        <w:rPr>
          <w:rFonts w:hint="eastAsia" w:ascii="宋体" w:hAnsi="宋体" w:cs="宋体"/>
          <w:szCs w:val="21"/>
        </w:rPr>
        <w:t xml:space="preserve">第五章  </w:t>
      </w:r>
      <w:r>
        <w:rPr>
          <w:rFonts w:hint="eastAsia" w:ascii="宋体" w:hAnsi="宋体" w:cs="宋体"/>
          <w:szCs w:val="21"/>
          <w:lang w:eastAsia="zh-CN"/>
        </w:rPr>
        <w:t>采购人需求</w:t>
      </w:r>
    </w:p>
    <w:p w14:paraId="2547B2C1">
      <w:pPr>
        <w:spacing w:line="360" w:lineRule="auto"/>
        <w:ind w:left="502"/>
        <w:jc w:val="left"/>
        <w:rPr>
          <w:rFonts w:hint="eastAsia" w:ascii="宋体" w:hAnsi="宋体" w:cs="宋体"/>
          <w:szCs w:val="21"/>
        </w:rPr>
      </w:pPr>
      <w:r>
        <w:rPr>
          <w:rFonts w:hint="eastAsia" w:ascii="宋体" w:hAnsi="宋体" w:cs="宋体"/>
          <w:szCs w:val="21"/>
        </w:rPr>
        <w:t>第六章  谈判程序及方法</w:t>
      </w:r>
    </w:p>
    <w:p w14:paraId="338F29E0">
      <w:pPr>
        <w:pStyle w:val="4"/>
        <w:numPr>
          <w:ilvl w:val="0"/>
          <w:numId w:val="10"/>
        </w:numPr>
        <w:spacing w:before="0" w:after="0" w:line="400" w:lineRule="exact"/>
        <w:ind w:firstLineChars="0"/>
        <w:jc w:val="both"/>
        <w:rPr>
          <w:rFonts w:hint="eastAsia" w:hAnsi="宋体" w:cs="宋体"/>
          <w:sz w:val="21"/>
          <w:szCs w:val="21"/>
        </w:rPr>
      </w:pPr>
      <w:bookmarkStart w:id="138" w:name="_Toc86124049"/>
      <w:bookmarkStart w:id="139" w:name="_Toc329810193"/>
      <w:bookmarkStart w:id="140" w:name="_Toc42090054"/>
      <w:bookmarkStart w:id="141" w:name="_Toc497409770"/>
      <w:bookmarkStart w:id="142" w:name="_Toc496376646"/>
      <w:bookmarkStart w:id="143" w:name="_Toc384279655"/>
      <w:bookmarkStart w:id="144" w:name="_Toc448349605"/>
      <w:r>
        <w:rPr>
          <w:rFonts w:hint="eastAsia" w:hAnsi="宋体" w:cs="宋体"/>
          <w:sz w:val="21"/>
          <w:szCs w:val="21"/>
        </w:rPr>
        <w:t>谈判文件的澄清</w:t>
      </w:r>
      <w:bookmarkEnd w:id="138"/>
      <w:r>
        <w:rPr>
          <w:rFonts w:hint="eastAsia" w:hAnsi="宋体" w:cs="宋体"/>
          <w:sz w:val="21"/>
          <w:szCs w:val="21"/>
        </w:rPr>
        <w:t>、修改</w:t>
      </w:r>
      <w:bookmarkEnd w:id="139"/>
      <w:bookmarkEnd w:id="140"/>
      <w:bookmarkEnd w:id="141"/>
      <w:bookmarkEnd w:id="142"/>
      <w:bookmarkEnd w:id="143"/>
      <w:bookmarkEnd w:id="144"/>
    </w:p>
    <w:p w14:paraId="717AFF40">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.1 参加供应商应认真审核谈判文件，如有疑问的，供应商可以在 “供应商须知前附表”规定截止时间前以澄清函形式（加盖单位章）要求澄清，截止时间后送达的澄清要求概不接受。</w:t>
      </w:r>
    </w:p>
    <w:p w14:paraId="7A1B315B">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.2 采购人将以书面形式答复所有获取谈判文件的供应商（答复中不包含问题的来源）要求澄清的问题，其他澄清方式无效。</w:t>
      </w:r>
    </w:p>
    <w:p w14:paraId="4584EC3A">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3采购人对已发出的谈判文件进行必要的澄清或者修改的，澄清或者修改的内容作为谈判文件的组成部分。澄清或者修改的内容可能影响响应文件编制的，采购人将在提交首次响应文件截止之日前，以书面形式通知所有获取谈判文件的供应商。</w:t>
      </w:r>
    </w:p>
    <w:p w14:paraId="7AA1C706">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.4采购人可以视采购具体情况，推迟递交响应文件截止时间，并将变更时间书面通知所有获取谈判文件的供应商。</w:t>
      </w:r>
    </w:p>
    <w:p w14:paraId="51FDF6F6">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5在谈判过程中，谈判小组可以根据谈判文件和谈判情况实质性变动采购需求中的技术、服务要求以及合同草案条款，但不得变动谈判文件中的其他内容。实质性变动的内容，须经采购人代表确认。本项目谈判小组根据与供应商谈判情况可能实质性变动的内容见供应商须知前附表。</w:t>
      </w:r>
    </w:p>
    <w:p w14:paraId="28E6334E">
      <w:pPr>
        <w:spacing w:line="400" w:lineRule="exact"/>
        <w:ind w:firstLine="420" w:firstLineChars="200"/>
        <w:jc w:val="left"/>
        <w:rPr>
          <w:rFonts w:hint="eastAsia" w:ascii="宋体" w:hAnsi="宋体" w:cs="宋体"/>
          <w:szCs w:val="21"/>
        </w:rPr>
      </w:pPr>
    </w:p>
    <w:p w14:paraId="48C68D1E">
      <w:pPr>
        <w:pStyle w:val="3"/>
        <w:spacing w:before="0" w:line="440" w:lineRule="exact"/>
        <w:rPr>
          <w:rFonts w:hint="eastAsia" w:ascii="宋体" w:hAnsi="宋体" w:cs="宋体"/>
          <w:szCs w:val="28"/>
        </w:rPr>
      </w:pPr>
      <w:bookmarkStart w:id="145" w:name="_Toc6062"/>
      <w:bookmarkStart w:id="146" w:name="_Toc448349606"/>
      <w:bookmarkStart w:id="147" w:name="_Toc9415"/>
      <w:bookmarkStart w:id="148" w:name="_Toc42090055"/>
      <w:bookmarkStart w:id="149" w:name="_Toc86124051"/>
      <w:r>
        <w:rPr>
          <w:rFonts w:hint="eastAsia" w:ascii="宋体" w:hAnsi="宋体" w:cs="宋体"/>
          <w:szCs w:val="28"/>
        </w:rPr>
        <w:t>三、响应文件</w:t>
      </w:r>
      <w:bookmarkEnd w:id="145"/>
      <w:bookmarkEnd w:id="146"/>
      <w:bookmarkEnd w:id="147"/>
      <w:bookmarkEnd w:id="148"/>
      <w:bookmarkEnd w:id="149"/>
    </w:p>
    <w:p w14:paraId="694B5DE7">
      <w:pPr>
        <w:pStyle w:val="4"/>
        <w:numPr>
          <w:ilvl w:val="0"/>
          <w:numId w:val="10"/>
        </w:numPr>
        <w:spacing w:before="0" w:after="0" w:line="440" w:lineRule="exact"/>
        <w:ind w:firstLineChars="0"/>
        <w:jc w:val="both"/>
        <w:rPr>
          <w:rFonts w:hint="eastAsia" w:hAnsi="宋体" w:cs="宋体"/>
          <w:sz w:val="21"/>
          <w:szCs w:val="21"/>
        </w:rPr>
      </w:pPr>
      <w:bookmarkStart w:id="150" w:name="_Toc497409772"/>
      <w:bookmarkStart w:id="151" w:name="_Toc42090056"/>
      <w:bookmarkStart w:id="152" w:name="_Toc86124052"/>
      <w:bookmarkStart w:id="153" w:name="_Toc384279657"/>
      <w:bookmarkStart w:id="154" w:name="_Toc448349607"/>
      <w:bookmarkStart w:id="155" w:name="_Toc496376648"/>
      <w:bookmarkStart w:id="156" w:name="_Toc329810195"/>
      <w:r>
        <w:rPr>
          <w:rFonts w:hint="eastAsia" w:hAnsi="宋体" w:cs="宋体"/>
          <w:sz w:val="21"/>
          <w:szCs w:val="21"/>
        </w:rPr>
        <w:t>响应文件编写注意事项</w:t>
      </w:r>
      <w:bookmarkEnd w:id="150"/>
      <w:bookmarkEnd w:id="151"/>
      <w:bookmarkEnd w:id="152"/>
      <w:bookmarkEnd w:id="153"/>
      <w:bookmarkEnd w:id="154"/>
      <w:bookmarkEnd w:id="155"/>
      <w:bookmarkEnd w:id="156"/>
    </w:p>
    <w:p w14:paraId="1822B36E">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.1 供应商应仔细阅读谈判文件，在完全了解采购的内容、要求和商务条件后（见第五章“</w:t>
      </w:r>
      <w:r>
        <w:rPr>
          <w:rFonts w:hint="eastAsia" w:ascii="宋体" w:hAnsi="宋体" w:cs="宋体"/>
          <w:szCs w:val="21"/>
          <w:lang w:eastAsia="zh-CN"/>
        </w:rPr>
        <w:t>采购人需求</w:t>
      </w:r>
      <w:r>
        <w:rPr>
          <w:rFonts w:hint="eastAsia" w:ascii="宋体" w:hAnsi="宋体" w:cs="宋体"/>
          <w:szCs w:val="21"/>
        </w:rPr>
        <w:t>”），编写响应文件。</w:t>
      </w:r>
    </w:p>
    <w:p w14:paraId="53FD6206">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.2 对谈判文件提出的实质性要求和条件作出响应是指供应商必须对谈判文件中规定的成交实质性要求和条件作出满足或者优于原要求和条件的承诺，并提供相应的证明材料。</w:t>
      </w:r>
    </w:p>
    <w:p w14:paraId="162BB3FD">
      <w:pPr>
        <w:pStyle w:val="4"/>
        <w:numPr>
          <w:ilvl w:val="0"/>
          <w:numId w:val="10"/>
        </w:numPr>
        <w:spacing w:before="0" w:after="0" w:line="400" w:lineRule="exact"/>
        <w:ind w:firstLineChars="0"/>
        <w:jc w:val="both"/>
        <w:rPr>
          <w:rFonts w:hint="eastAsia" w:hAnsi="宋体" w:cs="宋体"/>
          <w:sz w:val="21"/>
          <w:szCs w:val="21"/>
        </w:rPr>
      </w:pPr>
      <w:bookmarkStart w:id="157" w:name="_Toc329810196"/>
      <w:bookmarkStart w:id="158" w:name="_Toc448349608"/>
      <w:bookmarkStart w:id="159" w:name="_Toc86124054"/>
      <w:bookmarkStart w:id="160" w:name="_Toc497409773"/>
      <w:bookmarkStart w:id="161" w:name="_Toc384279658"/>
      <w:bookmarkStart w:id="162" w:name="_Toc496376649"/>
      <w:bookmarkStart w:id="163" w:name="_Toc42090057"/>
      <w:r>
        <w:rPr>
          <w:rFonts w:hint="eastAsia" w:hAnsi="宋体" w:cs="宋体"/>
          <w:sz w:val="21"/>
          <w:szCs w:val="21"/>
        </w:rPr>
        <w:t>响应文件构成</w:t>
      </w:r>
      <w:bookmarkEnd w:id="157"/>
      <w:bookmarkEnd w:id="158"/>
      <w:bookmarkEnd w:id="159"/>
      <w:bookmarkEnd w:id="160"/>
      <w:bookmarkEnd w:id="161"/>
      <w:bookmarkEnd w:id="162"/>
      <w:bookmarkEnd w:id="163"/>
    </w:p>
    <w:p w14:paraId="52469E9F">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.1供应商编写的响应文件应按第四章“响应文件格式”要求填写。有关文件的提交如未特别注明需提供原件的，可提供复印件。</w:t>
      </w:r>
    </w:p>
    <w:p w14:paraId="3B6C5C3F">
      <w:pPr>
        <w:pStyle w:val="4"/>
        <w:numPr>
          <w:ilvl w:val="0"/>
          <w:numId w:val="10"/>
        </w:numPr>
        <w:spacing w:before="0" w:after="0" w:line="400" w:lineRule="exact"/>
        <w:ind w:firstLineChars="0"/>
        <w:jc w:val="both"/>
        <w:rPr>
          <w:rFonts w:hint="eastAsia" w:hAnsi="宋体" w:cs="宋体"/>
          <w:sz w:val="21"/>
          <w:szCs w:val="21"/>
        </w:rPr>
      </w:pPr>
      <w:bookmarkStart w:id="164" w:name="_Toc86124056"/>
      <w:bookmarkStart w:id="165" w:name="_Toc496376650"/>
      <w:bookmarkStart w:id="166" w:name="_Toc497409774"/>
      <w:bookmarkStart w:id="167" w:name="_Toc448349609"/>
      <w:bookmarkStart w:id="168" w:name="_Toc42090058"/>
      <w:bookmarkStart w:id="169" w:name="_Toc329810197"/>
      <w:bookmarkStart w:id="170" w:name="_Toc384279659"/>
      <w:r>
        <w:rPr>
          <w:rFonts w:hint="eastAsia" w:hAnsi="宋体" w:cs="宋体"/>
          <w:sz w:val="21"/>
          <w:szCs w:val="21"/>
        </w:rPr>
        <w:t>报价</w:t>
      </w:r>
      <w:bookmarkEnd w:id="164"/>
      <w:r>
        <w:rPr>
          <w:rFonts w:hint="eastAsia" w:hAnsi="宋体" w:cs="宋体"/>
          <w:sz w:val="21"/>
          <w:szCs w:val="21"/>
        </w:rPr>
        <w:t>和报价货币</w:t>
      </w:r>
      <w:bookmarkEnd w:id="165"/>
      <w:bookmarkEnd w:id="166"/>
      <w:bookmarkEnd w:id="167"/>
      <w:bookmarkEnd w:id="168"/>
      <w:bookmarkEnd w:id="169"/>
      <w:bookmarkEnd w:id="170"/>
    </w:p>
    <w:p w14:paraId="35943B0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12.1谈判报价的计算方法，详见“供应商须知前附表”。</w:t>
      </w:r>
    </w:p>
    <w:p w14:paraId="2AF0D7C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12.2供应商应充分了解该项目的总体情况以及影响谈判报价的其他要素。供应商应考虑服务期间可能出现的相关风险，报价风险由供应商自负。报价包括完成所有工作直至验收交付的所有风险、责任等各项应有费用，详见“供应商须知前附表”。</w:t>
      </w:r>
    </w:p>
    <w:p w14:paraId="553B93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12.3本项目最高采购限价详见“供应商须知前附表”。</w:t>
      </w:r>
    </w:p>
    <w:p w14:paraId="5B76785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12.4通过实质性要求审查的供应商才能进入谈判程序并进行二轮报价，第二轮报价为最终报价。</w:t>
      </w:r>
    </w:p>
    <w:p w14:paraId="218237F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12.5最终报价文件应由法定代表人或委托代理人签字，在规定的时间统一密封递交。若已递交的最终报价文件若出现含义不明确、同类问题表述不一致或者签署不完整、有明显文字和计算错误的，可以进行澄清和补充，但不得改变最终报价文件中报价等实质性内容（算术性错误修正的除外）。</w:t>
      </w:r>
    </w:p>
    <w:p w14:paraId="6ABA330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12.6供应商不得哄抬报价，也不应低于成本价（或进价）报价。谈判小组认为供应商的报价明显不合理或者低于成本，有可能服务质量和不能诚信履约的，将要求其在规定的期限内提供书面文件予以解释说明，并提交相关证明材料。否则，谈判小组可以取消该供应商的成交候选资格。</w:t>
      </w:r>
    </w:p>
    <w:p w14:paraId="77CDA8F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12.7供应商应按照竞争性谈判文件要求，报价应本着合理的原则，采购人不保证报价最低者一定成交。未按竞争性谈判文件要求执行的采购人有权不予以考虑。</w:t>
      </w:r>
    </w:p>
    <w:p w14:paraId="099FFBE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12.8谈判报价为各分项报价金额之和，谈判报价与分项报价的合价不一致的，应以各分项合价累计数为准，修正谈判报价；如分项报价中存在缺漏项，则视为缺漏项价格已包含在其他分项报价之中。供应商在谈判截止时间前修改谈判函中的谈判报价总额，应同时修改响应文件“分项报价表”中的相应报价。</w:t>
      </w:r>
    </w:p>
    <w:p w14:paraId="33E8A40C">
      <w:pPr>
        <w:spacing w:line="360" w:lineRule="auto"/>
        <w:ind w:firstLine="420" w:firstLineChars="200"/>
        <w:rPr>
          <w:rFonts w:hint="eastAsia" w:ascii="宋体" w:hAnsi="宋体" w:cs="宋体"/>
          <w:szCs w:val="21"/>
        </w:rPr>
      </w:pPr>
      <w:r>
        <w:rPr>
          <w:rFonts w:hint="eastAsia" w:ascii="宋体" w:hAnsi="宋体" w:eastAsia="宋体" w:cs="宋体"/>
          <w:sz w:val="21"/>
          <w:szCs w:val="21"/>
        </w:rPr>
        <w:t>12.9供应商提供的产品或服务应保证用户在使用期间不受第三方可能提出侵犯其知识产权、商标权和其他知识产权的起诉。</w:t>
      </w:r>
    </w:p>
    <w:p w14:paraId="4D7FF3F6">
      <w:pPr>
        <w:pStyle w:val="4"/>
        <w:numPr>
          <w:ilvl w:val="0"/>
          <w:numId w:val="10"/>
        </w:numPr>
        <w:tabs>
          <w:tab w:val="left" w:pos="900"/>
        </w:tabs>
        <w:spacing w:before="0" w:line="400" w:lineRule="exact"/>
        <w:ind w:firstLineChars="0"/>
        <w:jc w:val="left"/>
        <w:rPr>
          <w:rFonts w:hint="eastAsia" w:hAnsi="宋体" w:cs="宋体"/>
          <w:sz w:val="21"/>
          <w:szCs w:val="21"/>
        </w:rPr>
      </w:pPr>
      <w:bookmarkStart w:id="171" w:name="_Toc384279660"/>
      <w:bookmarkStart w:id="172" w:name="_Toc497409775"/>
      <w:bookmarkStart w:id="173" w:name="_Toc448349610"/>
      <w:bookmarkStart w:id="174" w:name="_Toc496376651"/>
      <w:bookmarkStart w:id="175" w:name="_Toc42090059"/>
      <w:bookmarkStart w:id="176" w:name="_Toc329810198"/>
      <w:bookmarkStart w:id="177" w:name="_Toc86124058"/>
      <w:r>
        <w:rPr>
          <w:rFonts w:hint="eastAsia" w:hAnsi="宋体" w:cs="宋体"/>
          <w:sz w:val="21"/>
          <w:szCs w:val="21"/>
        </w:rPr>
        <w:t>有效期</w:t>
      </w:r>
      <w:bookmarkEnd w:id="171"/>
      <w:bookmarkEnd w:id="172"/>
      <w:bookmarkEnd w:id="173"/>
      <w:bookmarkEnd w:id="174"/>
      <w:bookmarkEnd w:id="175"/>
      <w:bookmarkEnd w:id="176"/>
      <w:bookmarkEnd w:id="177"/>
    </w:p>
    <w:p w14:paraId="6804373F">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13</w:t>
      </w:r>
      <w:r>
        <w:rPr>
          <w:rFonts w:hint="eastAsia" w:ascii="宋体" w:hAnsi="宋体" w:cs="宋体"/>
          <w:szCs w:val="21"/>
        </w:rPr>
        <w:t>.1 在“</w:t>
      </w:r>
      <w:r>
        <w:rPr>
          <w:rFonts w:hint="eastAsia" w:ascii="宋体" w:hAnsi="宋体" w:cs="宋体"/>
          <w:b/>
          <w:szCs w:val="21"/>
        </w:rPr>
        <w:t>供应商须知前附表</w:t>
      </w:r>
      <w:r>
        <w:rPr>
          <w:rFonts w:hint="eastAsia" w:ascii="宋体" w:hAnsi="宋体" w:cs="宋体"/>
          <w:szCs w:val="21"/>
        </w:rPr>
        <w:t>”规定的有效期内，供应商不得要求撤销或修改其响应文件。</w:t>
      </w:r>
    </w:p>
    <w:p w14:paraId="4AC00CA0">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13</w:t>
      </w:r>
      <w:r>
        <w:rPr>
          <w:rFonts w:hint="eastAsia" w:ascii="宋体" w:hAnsi="宋体" w:cs="宋体"/>
          <w:szCs w:val="21"/>
        </w:rPr>
        <w:t>.2 因特殊情况需要延长有效期的，采购人以书面形式通知所有供应商延长有效期。供应商同意延长的，应相应延长其保证金的有效期，但不得要求或被允许修改或撤销其响应文件；供应商拒绝延长的，其响应文件失效。</w:t>
      </w:r>
    </w:p>
    <w:p w14:paraId="5FB97BC7">
      <w:pPr>
        <w:pStyle w:val="4"/>
        <w:numPr>
          <w:ilvl w:val="0"/>
          <w:numId w:val="10"/>
        </w:numPr>
        <w:tabs>
          <w:tab w:val="left" w:pos="360"/>
        </w:tabs>
        <w:spacing w:before="0" w:line="400" w:lineRule="exact"/>
        <w:ind w:firstLineChars="0"/>
        <w:jc w:val="left"/>
        <w:rPr>
          <w:rFonts w:hint="eastAsia" w:hAnsi="宋体" w:cs="宋体"/>
          <w:sz w:val="21"/>
          <w:szCs w:val="21"/>
        </w:rPr>
      </w:pPr>
      <w:bookmarkStart w:id="178" w:name="_Toc86124059"/>
      <w:bookmarkStart w:id="179" w:name="_Toc329810199"/>
      <w:bookmarkStart w:id="180" w:name="_Toc497409776"/>
      <w:bookmarkStart w:id="181" w:name="_Toc448349611"/>
      <w:bookmarkStart w:id="182" w:name="_Toc384279661"/>
      <w:bookmarkStart w:id="183" w:name="_Toc42090060"/>
      <w:bookmarkStart w:id="184" w:name="_Toc496376652"/>
      <w:r>
        <w:rPr>
          <w:rFonts w:hint="eastAsia" w:hAnsi="宋体" w:cs="宋体"/>
          <w:sz w:val="21"/>
          <w:szCs w:val="21"/>
        </w:rPr>
        <w:t>响应文件的</w:t>
      </w:r>
      <w:bookmarkEnd w:id="178"/>
      <w:bookmarkEnd w:id="179"/>
      <w:r>
        <w:rPr>
          <w:rFonts w:hint="eastAsia" w:hAnsi="宋体" w:cs="宋体"/>
          <w:sz w:val="21"/>
          <w:szCs w:val="21"/>
        </w:rPr>
        <w:t>编制</w:t>
      </w:r>
      <w:bookmarkEnd w:id="180"/>
      <w:bookmarkEnd w:id="181"/>
      <w:bookmarkEnd w:id="182"/>
      <w:bookmarkEnd w:id="183"/>
      <w:bookmarkEnd w:id="184"/>
    </w:p>
    <w:p w14:paraId="698C12FD">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.1 响应文件须用不褪色的墨水书写或打印。并按谈判文件要求由供应商的法定代表人或其委托代理人签字或盖单位章。</w:t>
      </w:r>
      <w:r>
        <w:rPr>
          <w:rFonts w:hint="eastAsia" w:ascii="宋体" w:hAnsi="宋体" w:cs="宋体"/>
          <w:b/>
          <w:szCs w:val="21"/>
        </w:rPr>
        <w:t>委托代理人签字的，响应文件应附法定代表人签署的授权委托书。</w:t>
      </w:r>
    </w:p>
    <w:p w14:paraId="743C2266">
      <w:pPr>
        <w:spacing w:line="400" w:lineRule="exact"/>
        <w:ind w:firstLine="367" w:firstLineChars="175"/>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.2 响应文件应尽量避免涂改、行间插字或删除。如果出现上述情况，改动之处应加盖单位章或供应商法定代表人或其授权的代理人签字确认。</w:t>
      </w:r>
    </w:p>
    <w:p w14:paraId="112BA17C">
      <w:pPr>
        <w:spacing w:line="400" w:lineRule="exact"/>
        <w:ind w:firstLine="367" w:firstLineChars="175"/>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.3响应文件应由法定代表人或其委托代理人在凡规定签字处逐一签字，要求盖章处应盖单位章，若以投标专用章或合同专用章代替的，须出具供应商单位公章对投标专用章或合同专用章的授权函原件。</w:t>
      </w:r>
    </w:p>
    <w:p w14:paraId="0B27F36C">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.4 响应文件应准备正本一份，并按“</w:t>
      </w:r>
      <w:r>
        <w:rPr>
          <w:rFonts w:hint="eastAsia" w:ascii="宋体" w:hAnsi="宋体" w:cs="宋体"/>
          <w:b/>
          <w:szCs w:val="21"/>
        </w:rPr>
        <w:t>供应商须知前附表</w:t>
      </w:r>
      <w:r>
        <w:rPr>
          <w:rFonts w:hint="eastAsia" w:ascii="宋体" w:hAnsi="宋体" w:cs="宋体"/>
          <w:szCs w:val="21"/>
        </w:rPr>
        <w:t>”中规定的数量准备文件的副本。响应文件封面上应标明“</w:t>
      </w:r>
      <w:r>
        <w:rPr>
          <w:rFonts w:hint="eastAsia" w:ascii="宋体" w:hAnsi="宋体" w:cs="宋体"/>
          <w:b/>
          <w:szCs w:val="21"/>
        </w:rPr>
        <w:t>正本</w:t>
      </w:r>
      <w:r>
        <w:rPr>
          <w:rFonts w:hint="eastAsia" w:ascii="宋体" w:hAnsi="宋体" w:cs="宋体"/>
          <w:szCs w:val="21"/>
        </w:rPr>
        <w:t>”或“</w:t>
      </w:r>
      <w:r>
        <w:rPr>
          <w:rFonts w:hint="eastAsia" w:ascii="宋体" w:hAnsi="宋体" w:cs="宋体"/>
          <w:b/>
          <w:szCs w:val="21"/>
        </w:rPr>
        <w:t>副本</w:t>
      </w:r>
      <w:r>
        <w:rPr>
          <w:rFonts w:hint="eastAsia" w:ascii="宋体" w:hAnsi="宋体" w:cs="宋体"/>
          <w:szCs w:val="21"/>
        </w:rPr>
        <w:t>”以及项目名称、项目编号、供应商名称等内容。若正本和副本不符，以正本为准。</w:t>
      </w:r>
    </w:p>
    <w:p w14:paraId="31C4B143">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14</w:t>
      </w:r>
      <w:r>
        <w:rPr>
          <w:rFonts w:hint="eastAsia" w:ascii="宋体" w:hAnsi="宋体" w:cs="宋体"/>
          <w:szCs w:val="21"/>
        </w:rPr>
        <w:t>.5 响应文件正本与副本应分别装订成册，并编制目录。响应文件装订应牢固，不得采用活页夹，并要求逐页标注连续页码。</w:t>
      </w:r>
    </w:p>
    <w:p w14:paraId="7D725753">
      <w:pPr>
        <w:pStyle w:val="4"/>
        <w:numPr>
          <w:ilvl w:val="0"/>
          <w:numId w:val="10"/>
        </w:numPr>
        <w:tabs>
          <w:tab w:val="left" w:pos="360"/>
        </w:tabs>
        <w:spacing w:before="0" w:line="400" w:lineRule="exact"/>
        <w:ind w:firstLineChars="0"/>
        <w:jc w:val="left"/>
        <w:rPr>
          <w:rFonts w:hint="eastAsia" w:hAnsi="宋体" w:cs="宋体"/>
          <w:sz w:val="21"/>
          <w:szCs w:val="21"/>
        </w:rPr>
      </w:pPr>
      <w:bookmarkStart w:id="185" w:name="_Toc496376653"/>
      <w:bookmarkStart w:id="186" w:name="_Toc42090061"/>
      <w:bookmarkStart w:id="187" w:name="_Toc384279662"/>
      <w:bookmarkStart w:id="188" w:name="_Toc329810200"/>
      <w:bookmarkStart w:id="189" w:name="_Toc448349612"/>
      <w:bookmarkStart w:id="190" w:name="_Toc497409777"/>
      <w:r>
        <w:rPr>
          <w:rFonts w:hint="eastAsia" w:hAnsi="宋体" w:cs="宋体"/>
          <w:sz w:val="21"/>
          <w:szCs w:val="21"/>
        </w:rPr>
        <w:t>谈判保证金</w:t>
      </w:r>
      <w:bookmarkEnd w:id="185"/>
      <w:bookmarkEnd w:id="186"/>
      <w:bookmarkEnd w:id="187"/>
      <w:bookmarkEnd w:id="188"/>
      <w:bookmarkEnd w:id="189"/>
      <w:bookmarkEnd w:id="190"/>
    </w:p>
    <w:p w14:paraId="1A56FA07">
      <w:pPr>
        <w:spacing w:line="360" w:lineRule="exact"/>
        <w:ind w:firstLine="420" w:firstLineChars="200"/>
        <w:jc w:val="left"/>
        <w:rPr>
          <w:rFonts w:hint="eastAsia" w:ascii="宋体" w:hAnsi="宋体" w:cs="宋体"/>
          <w:szCs w:val="21"/>
        </w:rPr>
      </w:pPr>
      <w:r>
        <w:rPr>
          <w:rFonts w:hint="eastAsia" w:ascii="宋体" w:hAnsi="宋体" w:cs="宋体"/>
          <w:szCs w:val="21"/>
        </w:rPr>
        <w:t>本项目不收取谈判保证金。</w:t>
      </w:r>
    </w:p>
    <w:p w14:paraId="6439F036">
      <w:pPr>
        <w:pStyle w:val="3"/>
        <w:spacing w:before="0" w:line="440" w:lineRule="exact"/>
        <w:rPr>
          <w:rFonts w:hint="eastAsia" w:ascii="宋体" w:hAnsi="宋体" w:cs="宋体"/>
          <w:szCs w:val="28"/>
        </w:rPr>
      </w:pPr>
      <w:bookmarkStart w:id="191" w:name="_Toc18550"/>
      <w:bookmarkStart w:id="192" w:name="_Toc9809"/>
      <w:bookmarkStart w:id="193" w:name="_Toc86124061"/>
      <w:bookmarkStart w:id="194" w:name="_Toc42090062"/>
      <w:bookmarkStart w:id="195" w:name="_Toc448349613"/>
      <w:r>
        <w:rPr>
          <w:rFonts w:hint="eastAsia" w:ascii="宋体" w:hAnsi="宋体" w:cs="宋体"/>
          <w:szCs w:val="28"/>
        </w:rPr>
        <w:t>四、响应文件的提交</w:t>
      </w:r>
      <w:bookmarkEnd w:id="191"/>
      <w:bookmarkEnd w:id="192"/>
      <w:bookmarkEnd w:id="193"/>
      <w:bookmarkEnd w:id="194"/>
      <w:bookmarkEnd w:id="195"/>
    </w:p>
    <w:p w14:paraId="7AB62D50">
      <w:pPr>
        <w:pStyle w:val="4"/>
        <w:numPr>
          <w:ilvl w:val="0"/>
          <w:numId w:val="10"/>
        </w:numPr>
        <w:tabs>
          <w:tab w:val="left" w:pos="360"/>
        </w:tabs>
        <w:spacing w:before="0" w:line="440" w:lineRule="exact"/>
        <w:ind w:firstLineChars="0"/>
        <w:jc w:val="left"/>
        <w:rPr>
          <w:rFonts w:hint="eastAsia" w:hAnsi="宋体" w:cs="宋体"/>
          <w:sz w:val="21"/>
          <w:szCs w:val="21"/>
        </w:rPr>
      </w:pPr>
      <w:bookmarkStart w:id="196" w:name="_Toc448349614"/>
      <w:bookmarkStart w:id="197" w:name="_Toc329810202"/>
      <w:bookmarkStart w:id="198" w:name="_Toc497409779"/>
      <w:bookmarkStart w:id="199" w:name="_Toc86124062"/>
      <w:bookmarkStart w:id="200" w:name="_Toc384279664"/>
      <w:bookmarkStart w:id="201" w:name="_Toc496376655"/>
      <w:bookmarkStart w:id="202" w:name="_Toc42090063"/>
      <w:r>
        <w:rPr>
          <w:rFonts w:hint="eastAsia" w:hAnsi="宋体" w:cs="宋体"/>
          <w:sz w:val="21"/>
          <w:szCs w:val="21"/>
        </w:rPr>
        <w:t>响应文件的密封与标记</w:t>
      </w:r>
      <w:bookmarkEnd w:id="196"/>
      <w:bookmarkEnd w:id="197"/>
      <w:bookmarkEnd w:id="198"/>
      <w:bookmarkEnd w:id="199"/>
      <w:bookmarkEnd w:id="200"/>
      <w:bookmarkEnd w:id="201"/>
      <w:bookmarkEnd w:id="202"/>
    </w:p>
    <w:p w14:paraId="13248AA6">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.1 供应商应按“</w:t>
      </w:r>
      <w:r>
        <w:rPr>
          <w:rFonts w:hint="eastAsia" w:ascii="宋体" w:hAnsi="宋体" w:cs="宋体"/>
          <w:b/>
          <w:szCs w:val="21"/>
        </w:rPr>
        <w:t>供应商须知前附表</w:t>
      </w:r>
      <w:r>
        <w:rPr>
          <w:rFonts w:hint="eastAsia" w:ascii="宋体" w:hAnsi="宋体" w:cs="宋体"/>
          <w:szCs w:val="21"/>
        </w:rPr>
        <w:t>”中规定的正本和副本的数量提交响应文件。</w:t>
      </w:r>
    </w:p>
    <w:p w14:paraId="19E9EEB6">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.2 供应商应将正、副本文件加以密封，并在封贴处盖密封章（或公章）。</w:t>
      </w:r>
    </w:p>
    <w:p w14:paraId="590F7B5D">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.3 响应文件袋的封面应注明项目名称、项目编号、供应商名称。</w:t>
      </w:r>
    </w:p>
    <w:p w14:paraId="1A716BDB">
      <w:pPr>
        <w:pStyle w:val="4"/>
        <w:numPr>
          <w:ilvl w:val="0"/>
          <w:numId w:val="10"/>
        </w:numPr>
        <w:tabs>
          <w:tab w:val="left" w:pos="360"/>
        </w:tabs>
        <w:spacing w:before="0" w:line="400" w:lineRule="exact"/>
        <w:ind w:firstLineChars="0"/>
        <w:jc w:val="left"/>
        <w:rPr>
          <w:rFonts w:hint="eastAsia" w:hAnsi="宋体" w:cs="宋体"/>
          <w:sz w:val="21"/>
          <w:szCs w:val="21"/>
        </w:rPr>
      </w:pPr>
      <w:bookmarkStart w:id="203" w:name="_Toc42090064"/>
      <w:bookmarkStart w:id="204" w:name="_Toc329810203"/>
      <w:bookmarkStart w:id="205" w:name="_Toc497409780"/>
      <w:bookmarkStart w:id="206" w:name="_Toc86124063"/>
      <w:bookmarkStart w:id="207" w:name="_Toc496376656"/>
      <w:bookmarkStart w:id="208" w:name="_Toc448349615"/>
      <w:bookmarkStart w:id="209" w:name="_Toc384279665"/>
      <w:r>
        <w:rPr>
          <w:rFonts w:hint="eastAsia" w:hAnsi="宋体" w:cs="宋体"/>
          <w:sz w:val="21"/>
          <w:szCs w:val="21"/>
        </w:rPr>
        <w:t>递交响应文件的截止时间和地点</w:t>
      </w:r>
      <w:bookmarkEnd w:id="203"/>
      <w:bookmarkEnd w:id="204"/>
      <w:bookmarkEnd w:id="205"/>
      <w:bookmarkEnd w:id="206"/>
      <w:bookmarkEnd w:id="207"/>
      <w:bookmarkEnd w:id="208"/>
      <w:bookmarkEnd w:id="209"/>
    </w:p>
    <w:p w14:paraId="16DC3837">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17</w:t>
      </w:r>
      <w:r>
        <w:rPr>
          <w:rFonts w:hint="eastAsia" w:ascii="宋体" w:hAnsi="宋体" w:cs="宋体"/>
          <w:szCs w:val="21"/>
        </w:rPr>
        <w:t>.1 响应文件的递交不得迟于“</w:t>
      </w:r>
      <w:r>
        <w:rPr>
          <w:rFonts w:hint="eastAsia" w:ascii="宋体" w:hAnsi="宋体" w:cs="宋体"/>
          <w:b/>
          <w:szCs w:val="21"/>
        </w:rPr>
        <w:t>供应商须知前附表</w:t>
      </w:r>
      <w:r>
        <w:rPr>
          <w:rFonts w:hint="eastAsia" w:ascii="宋体" w:hAnsi="宋体" w:cs="宋体"/>
          <w:szCs w:val="21"/>
        </w:rPr>
        <w:t>”规定的递交响应文件截止时间。</w:t>
      </w:r>
      <w:r>
        <w:rPr>
          <w:rFonts w:hint="eastAsia" w:ascii="宋体" w:hAnsi="宋体" w:cs="宋体"/>
          <w:b/>
          <w:szCs w:val="21"/>
        </w:rPr>
        <w:t>逾期送达的响应文件，采购人不予接收。</w:t>
      </w:r>
    </w:p>
    <w:p w14:paraId="59F3FB01">
      <w:pPr>
        <w:spacing w:line="400" w:lineRule="exact"/>
        <w:ind w:firstLine="420" w:firstLineChars="200"/>
        <w:jc w:val="left"/>
        <w:rPr>
          <w:rFonts w:hint="eastAsia" w:ascii="宋体" w:hAnsi="宋体" w:cs="宋体"/>
          <w:b/>
          <w:szCs w:val="21"/>
        </w:rPr>
      </w:pPr>
      <w:r>
        <w:rPr>
          <w:rFonts w:hint="eastAsia" w:ascii="宋体" w:hAnsi="宋体" w:cs="宋体"/>
          <w:szCs w:val="21"/>
          <w:lang w:val="en-US" w:eastAsia="zh-CN"/>
        </w:rPr>
        <w:t>17</w:t>
      </w:r>
      <w:r>
        <w:rPr>
          <w:rFonts w:hint="eastAsia" w:ascii="宋体" w:hAnsi="宋体" w:cs="宋体"/>
          <w:szCs w:val="21"/>
        </w:rPr>
        <w:t>.2 供应商必须在规定时间内将响应文件递交到“</w:t>
      </w:r>
      <w:r>
        <w:rPr>
          <w:rFonts w:hint="eastAsia" w:ascii="宋体" w:hAnsi="宋体" w:cs="宋体"/>
          <w:b/>
          <w:szCs w:val="21"/>
        </w:rPr>
        <w:t>供应商须知前附表</w:t>
      </w:r>
      <w:r>
        <w:rPr>
          <w:rFonts w:hint="eastAsia" w:ascii="宋体" w:hAnsi="宋体" w:cs="宋体"/>
          <w:szCs w:val="21"/>
        </w:rPr>
        <w:t>”规定的地点。</w:t>
      </w:r>
    </w:p>
    <w:p w14:paraId="37D8A295">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17</w:t>
      </w:r>
      <w:r>
        <w:rPr>
          <w:rFonts w:hint="eastAsia" w:ascii="宋体" w:hAnsi="宋体" w:cs="宋体"/>
          <w:szCs w:val="21"/>
        </w:rPr>
        <w:t>.3除“</w:t>
      </w:r>
      <w:r>
        <w:rPr>
          <w:rFonts w:hint="eastAsia" w:ascii="宋体" w:hAnsi="宋体" w:cs="宋体"/>
          <w:b/>
          <w:szCs w:val="21"/>
        </w:rPr>
        <w:t>供应商须知前附表</w:t>
      </w:r>
      <w:r>
        <w:rPr>
          <w:rFonts w:hint="eastAsia" w:ascii="宋体" w:hAnsi="宋体" w:cs="宋体"/>
          <w:szCs w:val="21"/>
        </w:rPr>
        <w:t>”另有规定外，供应商所递交的响应文件不予退还。</w:t>
      </w:r>
    </w:p>
    <w:p w14:paraId="4F1B7C4A">
      <w:pPr>
        <w:ind w:firstLine="420" w:firstLineChars="200"/>
        <w:jc w:val="left"/>
        <w:rPr>
          <w:rFonts w:hint="eastAsia" w:ascii="宋体" w:hAnsi="宋体" w:cs="宋体"/>
          <w:szCs w:val="21"/>
        </w:rPr>
      </w:pPr>
    </w:p>
    <w:p w14:paraId="283346B6">
      <w:pPr>
        <w:pStyle w:val="3"/>
        <w:spacing w:before="0" w:line="240" w:lineRule="auto"/>
        <w:rPr>
          <w:rFonts w:hint="eastAsia" w:ascii="宋体" w:hAnsi="宋体" w:cs="宋体"/>
          <w:sz w:val="21"/>
          <w:szCs w:val="21"/>
        </w:rPr>
      </w:pPr>
      <w:bookmarkStart w:id="210" w:name="_Toc7490"/>
      <w:bookmarkStart w:id="211" w:name="_Toc27210"/>
      <w:bookmarkStart w:id="212" w:name="_Toc448349616"/>
      <w:bookmarkStart w:id="213" w:name="_Toc42090065"/>
      <w:bookmarkStart w:id="214" w:name="_Toc86124064"/>
      <w:r>
        <w:rPr>
          <w:rFonts w:hint="eastAsia" w:ascii="宋体" w:hAnsi="宋体" w:cs="宋体"/>
          <w:szCs w:val="28"/>
        </w:rPr>
        <w:t>五、谈判</w:t>
      </w:r>
      <w:bookmarkEnd w:id="210"/>
      <w:bookmarkEnd w:id="211"/>
      <w:bookmarkEnd w:id="212"/>
      <w:bookmarkEnd w:id="213"/>
      <w:bookmarkEnd w:id="214"/>
    </w:p>
    <w:p w14:paraId="0687D2CC">
      <w:pPr>
        <w:pStyle w:val="4"/>
        <w:numPr>
          <w:ilvl w:val="0"/>
          <w:numId w:val="10"/>
        </w:numPr>
        <w:tabs>
          <w:tab w:val="left" w:pos="360"/>
        </w:tabs>
        <w:spacing w:before="0" w:line="360" w:lineRule="exact"/>
        <w:ind w:firstLineChars="0"/>
        <w:jc w:val="left"/>
        <w:rPr>
          <w:rFonts w:hint="eastAsia" w:hAnsi="宋体" w:cs="宋体"/>
          <w:sz w:val="21"/>
          <w:szCs w:val="21"/>
        </w:rPr>
      </w:pPr>
      <w:bookmarkStart w:id="215" w:name="_Toc384279667"/>
      <w:bookmarkStart w:id="216" w:name="_Toc448349617"/>
      <w:bookmarkStart w:id="217" w:name="_Toc497409782"/>
      <w:bookmarkStart w:id="218" w:name="_Toc42090066"/>
      <w:bookmarkStart w:id="219" w:name="_Toc329810205"/>
      <w:bookmarkStart w:id="220" w:name="_Toc496376658"/>
      <w:r>
        <w:rPr>
          <w:rFonts w:hint="eastAsia" w:hAnsi="宋体" w:cs="宋体"/>
          <w:sz w:val="21"/>
          <w:szCs w:val="21"/>
        </w:rPr>
        <w:t>谈判</w:t>
      </w:r>
      <w:bookmarkEnd w:id="215"/>
      <w:bookmarkEnd w:id="216"/>
      <w:bookmarkEnd w:id="217"/>
      <w:bookmarkEnd w:id="218"/>
      <w:bookmarkEnd w:id="219"/>
      <w:bookmarkEnd w:id="220"/>
    </w:p>
    <w:p w14:paraId="22209605">
      <w:pPr>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.1采购人将在</w:t>
      </w:r>
      <w:r>
        <w:rPr>
          <w:rFonts w:hint="eastAsia" w:ascii="宋体" w:hAnsi="宋体" w:cs="宋体"/>
          <w:b/>
          <w:bCs/>
          <w:szCs w:val="21"/>
        </w:rPr>
        <w:t>“供应商须知前附表”</w:t>
      </w:r>
      <w:r>
        <w:rPr>
          <w:rFonts w:hint="eastAsia" w:ascii="宋体" w:hAnsi="宋体" w:cs="宋体"/>
          <w:szCs w:val="21"/>
        </w:rPr>
        <w:t>规定的时间和地点进行谈判，供应商的法定代表人或其委托代理人应按时参加，如按时参加谈判的供应商不足3家，经谈判小组认定仍能满足采购人需求，可继续组织谈判。</w:t>
      </w:r>
    </w:p>
    <w:p w14:paraId="3453D6AA">
      <w:pPr>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.2谈判由谈判小组负责。谈判小组由采购人的代表组成，成员人数应当为3人及以上单数。</w:t>
      </w:r>
    </w:p>
    <w:p w14:paraId="23D46652">
      <w:pPr>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.3 谈判原则</w:t>
      </w:r>
    </w:p>
    <w:p w14:paraId="066FF723">
      <w:pPr>
        <w:spacing w:line="360" w:lineRule="auto"/>
        <w:ind w:firstLine="457" w:firstLineChars="218"/>
        <w:rPr>
          <w:rFonts w:hint="eastAsia" w:ascii="宋体" w:hAnsi="宋体" w:cs="宋体"/>
          <w:szCs w:val="21"/>
        </w:rPr>
      </w:pPr>
      <w:r>
        <w:rPr>
          <w:rFonts w:hint="eastAsia" w:ascii="宋体" w:hAnsi="宋体" w:cs="宋体"/>
          <w:szCs w:val="21"/>
        </w:rPr>
        <w:t>谈判小组应当从技术、质量和服务均能满足采购文件实质性响应要求的供应商中，谈判小组按照得分由高到低的顺序推荐成交候选人，但谈判报价低于其成本的除外。综合评分相等时，以谈判报价低的优先；谈判报价也相等的，以技术得分高的优先；如果技术得分也相等，由谈判小组采用记名投票的方式确定。</w:t>
      </w:r>
    </w:p>
    <w:p w14:paraId="2F4B49A1">
      <w:pPr>
        <w:tabs>
          <w:tab w:val="left" w:pos="7980"/>
        </w:tabs>
        <w:spacing w:line="360" w:lineRule="auto"/>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.4 谈判程序和方法</w:t>
      </w:r>
    </w:p>
    <w:p w14:paraId="2A1C7521">
      <w:pPr>
        <w:spacing w:line="400" w:lineRule="exact"/>
        <w:ind w:firstLine="420" w:firstLineChars="200"/>
        <w:jc w:val="left"/>
        <w:rPr>
          <w:rFonts w:hint="eastAsia" w:ascii="宋体" w:hAnsi="宋体" w:cs="宋体"/>
          <w:szCs w:val="21"/>
        </w:rPr>
      </w:pPr>
      <w:r>
        <w:rPr>
          <w:rFonts w:hint="eastAsia" w:ascii="宋体" w:hAnsi="宋体" w:cs="宋体"/>
          <w:szCs w:val="21"/>
        </w:rPr>
        <w:t>谈判小组按照第六章“谈判程序和方法”规定的方法、因素、标准和程序进行谈判。</w:t>
      </w:r>
    </w:p>
    <w:p w14:paraId="06F4B63F">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.5谈判文件</w:t>
      </w:r>
      <w:r>
        <w:rPr>
          <w:rFonts w:hint="eastAsia" w:ascii="宋体" w:hAnsi="宋体" w:cs="宋体"/>
          <w:b/>
          <w:szCs w:val="21"/>
          <w:u w:val="single"/>
        </w:rPr>
        <w:t>第六章“谈判程序和方法”前附表第2.1款实质性要求为谈判文件的实质性内容，未实质性响应谈判文件的供应商的响应文件将按无效处理，该供应商不得再继续参加谈判</w:t>
      </w:r>
      <w:r>
        <w:rPr>
          <w:rFonts w:hint="eastAsia" w:ascii="宋体" w:hAnsi="宋体" w:cs="宋体"/>
          <w:szCs w:val="21"/>
        </w:rPr>
        <w:t>。</w:t>
      </w:r>
    </w:p>
    <w:p w14:paraId="7D1A4E30">
      <w:pPr>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.6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E93196">
      <w:pPr>
        <w:pStyle w:val="4"/>
        <w:numPr>
          <w:ilvl w:val="0"/>
          <w:numId w:val="10"/>
        </w:numPr>
        <w:tabs>
          <w:tab w:val="left" w:pos="360"/>
        </w:tabs>
        <w:spacing w:before="0" w:line="400" w:lineRule="exact"/>
        <w:ind w:firstLineChars="0"/>
        <w:jc w:val="left"/>
        <w:rPr>
          <w:rFonts w:hint="eastAsia" w:hAnsi="宋体" w:cs="宋体"/>
          <w:sz w:val="21"/>
          <w:szCs w:val="21"/>
        </w:rPr>
      </w:pPr>
      <w:bookmarkStart w:id="221" w:name="_Toc497409783"/>
      <w:bookmarkStart w:id="222" w:name="_Toc329810207"/>
      <w:bookmarkStart w:id="223" w:name="_Toc42090067"/>
      <w:bookmarkStart w:id="224" w:name="_Toc496376659"/>
      <w:bookmarkStart w:id="225" w:name="_Toc384279668"/>
      <w:bookmarkStart w:id="226" w:name="_Toc448349618"/>
      <w:bookmarkStart w:id="227" w:name="_Toc86124067"/>
      <w:r>
        <w:rPr>
          <w:rFonts w:hint="eastAsia" w:hAnsi="宋体" w:cs="宋体"/>
          <w:sz w:val="21"/>
          <w:szCs w:val="21"/>
        </w:rPr>
        <w:t>谈判过程的保密</w:t>
      </w:r>
      <w:bookmarkEnd w:id="221"/>
      <w:bookmarkEnd w:id="222"/>
      <w:bookmarkEnd w:id="223"/>
      <w:bookmarkEnd w:id="224"/>
      <w:bookmarkEnd w:id="225"/>
      <w:bookmarkEnd w:id="226"/>
      <w:bookmarkEnd w:id="227"/>
    </w:p>
    <w:p w14:paraId="5DD11A21">
      <w:pPr>
        <w:spacing w:line="400" w:lineRule="exact"/>
        <w:ind w:firstLine="420" w:firstLineChars="200"/>
        <w:jc w:val="left"/>
        <w:rPr>
          <w:rFonts w:hint="eastAsia" w:ascii="宋体" w:hAnsi="宋体" w:cs="宋体"/>
          <w:szCs w:val="21"/>
        </w:rPr>
      </w:pPr>
      <w:r>
        <w:rPr>
          <w:rFonts w:hint="eastAsia" w:ascii="宋体" w:hAnsi="宋体" w:cs="宋体"/>
          <w:szCs w:val="21"/>
        </w:rPr>
        <w:t>在谈判中，谈判的任何一方不得透露与谈判有关的其他供应商的技术资料、价格和其他信息。谈判开始后，直到授予供应商合同止，凡是属于审查、澄清、谈判和比较的有关资料以及成交建议等均不向供应商或其他人员透露。</w:t>
      </w:r>
    </w:p>
    <w:p w14:paraId="3AF93755">
      <w:pPr>
        <w:pStyle w:val="4"/>
        <w:numPr>
          <w:ilvl w:val="0"/>
          <w:numId w:val="10"/>
        </w:numPr>
        <w:tabs>
          <w:tab w:val="left" w:pos="360"/>
        </w:tabs>
        <w:spacing w:before="0" w:after="0"/>
        <w:ind w:left="0" w:firstLine="426" w:firstLineChars="0"/>
        <w:jc w:val="left"/>
        <w:rPr>
          <w:rFonts w:hint="eastAsia" w:hAnsi="宋体" w:cs="宋体"/>
          <w:sz w:val="21"/>
          <w:szCs w:val="21"/>
        </w:rPr>
      </w:pPr>
      <w:bookmarkStart w:id="228" w:name="_Toc378499713"/>
      <w:bookmarkStart w:id="229" w:name="_Toc86124068"/>
      <w:bookmarkStart w:id="230" w:name="_Toc42090068"/>
      <w:bookmarkStart w:id="231" w:name="_Toc497409784"/>
      <w:bookmarkStart w:id="232" w:name="_Toc496376660"/>
      <w:bookmarkStart w:id="233" w:name="_Toc329810208"/>
      <w:bookmarkStart w:id="234" w:name="_Toc448349619"/>
      <w:bookmarkStart w:id="235" w:name="_Toc384279669"/>
      <w:r>
        <w:rPr>
          <w:rFonts w:hint="eastAsia" w:hAnsi="宋体" w:cs="宋体"/>
          <w:sz w:val="21"/>
          <w:szCs w:val="21"/>
        </w:rPr>
        <w:t>出现下列情形之一的，将终止竞争性谈判采购活动，并发布项目终止公告并说明原因，重新开展采购活动：</w:t>
      </w:r>
      <w:bookmarkEnd w:id="228"/>
      <w:bookmarkEnd w:id="229"/>
      <w:bookmarkEnd w:id="230"/>
      <w:bookmarkEnd w:id="231"/>
      <w:bookmarkEnd w:id="232"/>
      <w:bookmarkEnd w:id="233"/>
      <w:bookmarkEnd w:id="234"/>
      <w:bookmarkEnd w:id="235"/>
    </w:p>
    <w:p w14:paraId="2B995475">
      <w:pPr>
        <w:spacing w:line="400" w:lineRule="exact"/>
        <w:ind w:firstLine="420" w:firstLineChars="200"/>
        <w:jc w:val="left"/>
        <w:rPr>
          <w:rFonts w:hint="eastAsia" w:ascii="宋体" w:hAnsi="宋体" w:cs="宋体"/>
          <w:szCs w:val="21"/>
        </w:rPr>
      </w:pPr>
      <w:r>
        <w:rPr>
          <w:rFonts w:hint="eastAsia" w:ascii="宋体" w:hAnsi="宋体" w:cs="宋体"/>
          <w:szCs w:val="21"/>
        </w:rPr>
        <w:t>（1）因情况变化，不再符合规定的竞争性谈判采购方式适用情形的；</w:t>
      </w:r>
    </w:p>
    <w:p w14:paraId="47208D78">
      <w:pPr>
        <w:spacing w:line="400" w:lineRule="exact"/>
        <w:ind w:firstLine="420" w:firstLineChars="200"/>
        <w:jc w:val="left"/>
        <w:rPr>
          <w:rFonts w:hint="eastAsia" w:ascii="宋体" w:hAnsi="宋体" w:cs="宋体"/>
          <w:szCs w:val="21"/>
        </w:rPr>
      </w:pPr>
      <w:r>
        <w:rPr>
          <w:rFonts w:hint="eastAsia" w:ascii="宋体" w:hAnsi="宋体" w:cs="宋体"/>
          <w:szCs w:val="21"/>
        </w:rPr>
        <w:t>（2）出现影响采购公正的违法、违规行为的；</w:t>
      </w:r>
    </w:p>
    <w:p w14:paraId="1FBFDEA7">
      <w:pPr>
        <w:spacing w:line="400" w:lineRule="exact"/>
        <w:ind w:firstLine="420" w:firstLineChars="200"/>
        <w:jc w:val="left"/>
        <w:rPr>
          <w:rFonts w:hint="eastAsia" w:ascii="宋体" w:hAnsi="宋体" w:cs="宋体"/>
          <w:szCs w:val="21"/>
        </w:rPr>
      </w:pPr>
    </w:p>
    <w:p w14:paraId="704AEDE7">
      <w:pPr>
        <w:pStyle w:val="3"/>
        <w:spacing w:before="0" w:line="240" w:lineRule="auto"/>
        <w:rPr>
          <w:rFonts w:hint="eastAsia" w:ascii="宋体" w:hAnsi="宋体" w:cs="宋体"/>
          <w:sz w:val="21"/>
          <w:szCs w:val="21"/>
        </w:rPr>
      </w:pPr>
      <w:bookmarkStart w:id="236" w:name="_Toc448349620"/>
      <w:bookmarkStart w:id="237" w:name="_Toc29553"/>
      <w:bookmarkStart w:id="238" w:name="_Toc42090069"/>
      <w:bookmarkStart w:id="239" w:name="_Toc1530"/>
      <w:bookmarkStart w:id="240" w:name="_Toc86124069"/>
      <w:r>
        <w:rPr>
          <w:rFonts w:hint="eastAsia" w:ascii="宋体" w:hAnsi="宋体" w:cs="宋体"/>
          <w:szCs w:val="28"/>
        </w:rPr>
        <w:t>六、成交结果</w:t>
      </w:r>
      <w:bookmarkEnd w:id="236"/>
      <w:bookmarkEnd w:id="237"/>
      <w:bookmarkEnd w:id="238"/>
      <w:bookmarkEnd w:id="239"/>
      <w:bookmarkEnd w:id="240"/>
    </w:p>
    <w:p w14:paraId="0863830E">
      <w:pPr>
        <w:pStyle w:val="4"/>
        <w:numPr>
          <w:ilvl w:val="0"/>
          <w:numId w:val="10"/>
        </w:numPr>
        <w:tabs>
          <w:tab w:val="left" w:pos="360"/>
        </w:tabs>
        <w:spacing w:before="0" w:line="360" w:lineRule="exact"/>
        <w:ind w:firstLineChars="0"/>
        <w:jc w:val="left"/>
        <w:rPr>
          <w:rFonts w:hint="eastAsia" w:hAnsi="宋体" w:cs="宋体"/>
          <w:sz w:val="21"/>
          <w:szCs w:val="21"/>
        </w:rPr>
      </w:pPr>
      <w:bookmarkStart w:id="241" w:name="_Toc329810210"/>
      <w:bookmarkStart w:id="242" w:name="_Toc496376662"/>
      <w:bookmarkStart w:id="243" w:name="_Toc86124070"/>
      <w:bookmarkStart w:id="244" w:name="_Toc497409786"/>
      <w:bookmarkStart w:id="245" w:name="_Toc42090070"/>
      <w:bookmarkStart w:id="246" w:name="_Toc448349621"/>
      <w:bookmarkStart w:id="247" w:name="_Toc384279671"/>
      <w:r>
        <w:rPr>
          <w:rFonts w:hint="eastAsia" w:hAnsi="宋体" w:cs="宋体"/>
          <w:sz w:val="21"/>
          <w:szCs w:val="21"/>
        </w:rPr>
        <w:t>成交人的确定</w:t>
      </w:r>
      <w:bookmarkEnd w:id="241"/>
      <w:bookmarkEnd w:id="242"/>
      <w:bookmarkEnd w:id="243"/>
      <w:bookmarkEnd w:id="244"/>
      <w:bookmarkEnd w:id="245"/>
      <w:bookmarkEnd w:id="246"/>
      <w:bookmarkEnd w:id="247"/>
    </w:p>
    <w:p w14:paraId="220879D4">
      <w:pPr>
        <w:spacing w:line="360" w:lineRule="auto"/>
        <w:ind w:firstLine="420" w:firstLineChars="200"/>
        <w:jc w:val="left"/>
        <w:rPr>
          <w:rFonts w:hint="eastAsia"/>
        </w:rPr>
      </w:pPr>
      <w:r>
        <w:rPr>
          <w:rFonts w:hint="eastAsia"/>
          <w:lang w:val="en-US" w:eastAsia="zh-CN"/>
        </w:rPr>
        <w:t>21</w:t>
      </w:r>
      <w:r>
        <w:rPr>
          <w:rFonts w:hint="eastAsia"/>
        </w:rPr>
        <w:t>.1 采购人在评审结束后二个工作日内将评审报告送公司审批。</w:t>
      </w:r>
    </w:p>
    <w:p w14:paraId="1B676350">
      <w:pPr>
        <w:spacing w:line="360" w:lineRule="auto"/>
        <w:ind w:firstLine="420" w:firstLineChars="200"/>
        <w:jc w:val="left"/>
        <w:rPr>
          <w:rFonts w:hint="eastAsia" w:ascii="宋体" w:hAnsi="宋体" w:cs="宋体"/>
          <w:szCs w:val="21"/>
        </w:rPr>
      </w:pPr>
      <w:bookmarkStart w:id="248" w:name="_Toc329810211"/>
      <w:bookmarkStart w:id="249" w:name="_Toc497409787"/>
      <w:bookmarkStart w:id="250" w:name="_Toc384279672"/>
      <w:bookmarkStart w:id="251" w:name="_Toc448349622"/>
      <w:bookmarkStart w:id="252" w:name="_Toc42090071"/>
      <w:bookmarkStart w:id="253" w:name="_Toc496376663"/>
      <w:r>
        <w:rPr>
          <w:rFonts w:hint="eastAsia" w:ascii="宋体" w:hAnsi="宋体" w:cs="宋体"/>
          <w:szCs w:val="21"/>
          <w:lang w:val="en-US" w:eastAsia="zh-CN"/>
        </w:rPr>
        <w:t>21</w:t>
      </w:r>
      <w:r>
        <w:rPr>
          <w:rFonts w:hint="eastAsia" w:ascii="宋体" w:hAnsi="宋体" w:cs="宋体"/>
          <w:szCs w:val="21"/>
        </w:rPr>
        <w:t>.2采购人评审报告审批后确定成交人。</w:t>
      </w:r>
    </w:p>
    <w:p w14:paraId="5D44B5B9">
      <w:pPr>
        <w:pStyle w:val="4"/>
        <w:numPr>
          <w:ilvl w:val="0"/>
          <w:numId w:val="10"/>
        </w:numPr>
        <w:tabs>
          <w:tab w:val="left" w:pos="360"/>
        </w:tabs>
        <w:spacing w:before="0" w:line="360" w:lineRule="exact"/>
        <w:ind w:firstLineChars="0"/>
        <w:jc w:val="left"/>
        <w:rPr>
          <w:rFonts w:hint="eastAsia" w:hAnsi="宋体" w:cs="宋体"/>
          <w:sz w:val="21"/>
          <w:szCs w:val="21"/>
        </w:rPr>
      </w:pPr>
      <w:r>
        <w:rPr>
          <w:rFonts w:hint="eastAsia" w:hAnsi="宋体" w:cs="宋体"/>
          <w:sz w:val="21"/>
          <w:szCs w:val="21"/>
        </w:rPr>
        <w:t>成交通知书</w:t>
      </w:r>
      <w:bookmarkEnd w:id="248"/>
      <w:bookmarkEnd w:id="249"/>
      <w:bookmarkEnd w:id="250"/>
      <w:bookmarkEnd w:id="251"/>
      <w:bookmarkEnd w:id="252"/>
      <w:bookmarkEnd w:id="253"/>
    </w:p>
    <w:p w14:paraId="51419BA4">
      <w:pPr>
        <w:spacing w:line="360" w:lineRule="auto"/>
        <w:ind w:firstLine="420" w:firstLineChars="200"/>
        <w:jc w:val="left"/>
        <w:rPr>
          <w:rFonts w:hint="eastAsia" w:ascii="宋体" w:hAnsi="宋体" w:cs="宋体"/>
          <w:szCs w:val="21"/>
        </w:rPr>
      </w:pPr>
      <w:bookmarkStart w:id="254" w:name="_Toc384279674"/>
      <w:bookmarkStart w:id="255" w:name="_Toc448349624"/>
      <w:bookmarkStart w:id="256" w:name="_Toc86124073"/>
      <w:bookmarkStart w:id="257" w:name="_Toc42090072"/>
      <w:bookmarkStart w:id="258" w:name="_Toc496376664"/>
      <w:bookmarkStart w:id="259" w:name="_Toc329810213"/>
      <w:bookmarkStart w:id="260" w:name="_Toc497409788"/>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.1成交人确定后，采购人将向成交人发出成交通知书。</w:t>
      </w:r>
    </w:p>
    <w:p w14:paraId="6EE79883">
      <w:pPr>
        <w:spacing w:line="360" w:lineRule="auto"/>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.2成交通知书是合同的一个组成部分。</w:t>
      </w:r>
    </w:p>
    <w:p w14:paraId="20DF54BE">
      <w:pPr>
        <w:pStyle w:val="4"/>
        <w:numPr>
          <w:ilvl w:val="0"/>
          <w:numId w:val="10"/>
        </w:numPr>
        <w:tabs>
          <w:tab w:val="left" w:pos="360"/>
        </w:tabs>
        <w:spacing w:before="0" w:line="400" w:lineRule="exact"/>
        <w:ind w:firstLineChars="0"/>
        <w:jc w:val="left"/>
        <w:rPr>
          <w:rFonts w:hint="eastAsia" w:hAnsi="宋体" w:cs="宋体"/>
          <w:sz w:val="21"/>
          <w:szCs w:val="21"/>
        </w:rPr>
      </w:pPr>
      <w:r>
        <w:rPr>
          <w:rFonts w:hint="eastAsia" w:hAnsi="宋体" w:cs="宋体"/>
          <w:sz w:val="21"/>
          <w:szCs w:val="21"/>
        </w:rPr>
        <w:t>履约保证金</w:t>
      </w:r>
      <w:bookmarkEnd w:id="254"/>
      <w:bookmarkEnd w:id="255"/>
      <w:bookmarkEnd w:id="256"/>
      <w:bookmarkEnd w:id="257"/>
      <w:bookmarkEnd w:id="258"/>
      <w:bookmarkEnd w:id="259"/>
      <w:bookmarkEnd w:id="260"/>
    </w:p>
    <w:p w14:paraId="345A2158">
      <w:pPr>
        <w:spacing w:line="400" w:lineRule="exact"/>
        <w:ind w:firstLine="420" w:firstLineChars="200"/>
        <w:jc w:val="left"/>
        <w:rPr>
          <w:rFonts w:hint="eastAsia" w:ascii="宋体" w:hAnsi="宋体" w:cs="宋体"/>
          <w:szCs w:val="21"/>
        </w:rPr>
      </w:pPr>
      <w:r>
        <w:rPr>
          <w:rFonts w:hint="eastAsia" w:ascii="宋体" w:hAnsi="宋体" w:cs="宋体"/>
          <w:szCs w:val="21"/>
        </w:rPr>
        <w:t>无</w:t>
      </w:r>
    </w:p>
    <w:p w14:paraId="13B2A6B7">
      <w:pPr>
        <w:pStyle w:val="3"/>
        <w:spacing w:before="0" w:line="400" w:lineRule="exact"/>
        <w:rPr>
          <w:rFonts w:hint="eastAsia" w:ascii="宋体" w:hAnsi="宋体" w:cs="宋体"/>
          <w:szCs w:val="28"/>
        </w:rPr>
      </w:pPr>
      <w:bookmarkStart w:id="261" w:name="_Toc5713"/>
      <w:bookmarkStart w:id="262" w:name="_Toc86124074"/>
      <w:bookmarkStart w:id="263" w:name="_Toc448349625"/>
      <w:bookmarkStart w:id="264" w:name="_Toc42090073"/>
      <w:bookmarkStart w:id="265" w:name="_Toc30416"/>
      <w:r>
        <w:rPr>
          <w:rFonts w:hint="eastAsia" w:ascii="宋体" w:hAnsi="宋体" w:cs="宋体"/>
          <w:szCs w:val="28"/>
        </w:rPr>
        <w:t>七、其他事项</w:t>
      </w:r>
      <w:bookmarkEnd w:id="261"/>
      <w:bookmarkEnd w:id="262"/>
      <w:bookmarkEnd w:id="263"/>
      <w:bookmarkEnd w:id="264"/>
      <w:bookmarkEnd w:id="265"/>
    </w:p>
    <w:p w14:paraId="7E744A68">
      <w:pPr>
        <w:spacing w:line="400" w:lineRule="exact"/>
        <w:ind w:firstLine="420" w:firstLineChars="200"/>
        <w:jc w:val="left"/>
        <w:rPr>
          <w:rFonts w:hint="eastAsia" w:ascii="宋体" w:hAnsi="宋体" w:cs="宋体"/>
          <w:szCs w:val="21"/>
        </w:rPr>
      </w:pPr>
    </w:p>
    <w:p w14:paraId="64AF64EA">
      <w:pPr>
        <w:pStyle w:val="4"/>
        <w:numPr>
          <w:ilvl w:val="0"/>
          <w:numId w:val="10"/>
        </w:numPr>
        <w:tabs>
          <w:tab w:val="left" w:pos="360"/>
        </w:tabs>
        <w:spacing w:before="0" w:line="400" w:lineRule="exact"/>
        <w:ind w:firstLineChars="0"/>
        <w:jc w:val="left"/>
        <w:rPr>
          <w:rFonts w:hint="eastAsia" w:hAnsi="宋体" w:cs="宋体"/>
          <w:sz w:val="21"/>
          <w:szCs w:val="21"/>
        </w:rPr>
      </w:pPr>
      <w:r>
        <w:rPr>
          <w:rFonts w:hint="eastAsia" w:hAnsi="宋体" w:cs="宋体"/>
          <w:sz w:val="21"/>
          <w:szCs w:val="21"/>
        </w:rPr>
        <w:t>其他内容</w:t>
      </w:r>
    </w:p>
    <w:p w14:paraId="03AE8F03">
      <w:pPr>
        <w:pStyle w:val="24"/>
        <w:spacing w:line="360" w:lineRule="auto"/>
        <w:ind w:left="426"/>
        <w:rPr>
          <w:rFonts w:hint="eastAsia" w:hAnsi="宋体" w:cs="宋体"/>
          <w:sz w:val="21"/>
          <w:szCs w:val="21"/>
        </w:rPr>
      </w:pPr>
      <w:r>
        <w:rPr>
          <w:rFonts w:hint="eastAsia" w:hAnsi="宋体" w:cs="宋体"/>
          <w:sz w:val="21"/>
          <w:szCs w:val="21"/>
        </w:rPr>
        <w:t>2</w:t>
      </w:r>
      <w:r>
        <w:rPr>
          <w:rFonts w:hint="eastAsia" w:hAnsi="宋体" w:cs="宋体"/>
          <w:sz w:val="21"/>
          <w:szCs w:val="21"/>
          <w:lang w:val="en-US" w:eastAsia="zh-CN"/>
        </w:rPr>
        <w:t>4</w:t>
      </w:r>
      <w:r>
        <w:rPr>
          <w:rFonts w:hint="eastAsia" w:hAnsi="宋体" w:cs="宋体"/>
          <w:sz w:val="21"/>
          <w:szCs w:val="21"/>
        </w:rPr>
        <w:t>.1需要补充的其他内容详见“</w:t>
      </w:r>
      <w:r>
        <w:rPr>
          <w:rFonts w:hint="eastAsia" w:hAnsi="宋体" w:cs="宋体"/>
          <w:b/>
          <w:sz w:val="21"/>
          <w:szCs w:val="21"/>
        </w:rPr>
        <w:t>供应商须知前附表</w:t>
      </w:r>
      <w:r>
        <w:rPr>
          <w:rFonts w:hint="eastAsia" w:hAnsi="宋体" w:cs="宋体"/>
          <w:sz w:val="21"/>
          <w:szCs w:val="21"/>
        </w:rPr>
        <w:t>”。</w:t>
      </w:r>
    </w:p>
    <w:p w14:paraId="6E4B4F75">
      <w:pPr>
        <w:pStyle w:val="2"/>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24"/>
        </w:rPr>
        <w:br w:type="page"/>
      </w:r>
      <w:bookmarkStart w:id="266" w:name="_Toc16644"/>
      <w:bookmarkStart w:id="267" w:name="_Toc8476"/>
      <w:bookmarkStart w:id="268" w:name="_Toc6492"/>
      <w:bookmarkStart w:id="269" w:name="_Toc225"/>
      <w:bookmarkStart w:id="270" w:name="_Toc26165"/>
      <w:bookmarkStart w:id="271" w:name="_Toc86124078"/>
      <w:bookmarkStart w:id="272" w:name="_Toc13739"/>
      <w:bookmarkStart w:id="273" w:name="_Toc10341"/>
      <w:bookmarkStart w:id="274" w:name="_Toc420917854"/>
      <w:bookmarkStart w:id="275" w:name="_Toc25586"/>
      <w:bookmarkStart w:id="276" w:name="_Toc3958"/>
      <w:bookmarkStart w:id="277" w:name="_Toc16849"/>
      <w:bookmarkStart w:id="278" w:name="_Toc30238"/>
      <w:bookmarkStart w:id="279" w:name="_Toc17986"/>
      <w:r>
        <w:rPr>
          <w:rFonts w:hint="eastAsia" w:ascii="宋体" w:hAnsi="宋体" w:eastAsia="宋体" w:cs="宋体"/>
          <w:color w:val="auto"/>
          <w:sz w:val="32"/>
          <w:szCs w:val="32"/>
        </w:rPr>
        <w:t>第三章  合同书样式及主要条款</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3B72C5A">
      <w:pPr>
        <w:spacing w:after="240" w:afterLines="100" w:line="360" w:lineRule="auto"/>
        <w:jc w:val="center"/>
        <w:rPr>
          <w:rFonts w:hint="eastAsia" w:ascii="宋体" w:hAnsi="宋体" w:cs="宋体"/>
          <w:b/>
          <w:szCs w:val="21"/>
        </w:rPr>
      </w:pPr>
      <w:bookmarkStart w:id="280" w:name="_Toc86124081"/>
      <w:r>
        <w:rPr>
          <w:rFonts w:hint="eastAsia" w:ascii="宋体" w:hAnsi="宋体" w:cs="宋体"/>
          <w:b/>
          <w:szCs w:val="21"/>
        </w:rPr>
        <w:t>（采购文件内本章合同条款及格式仅作参考，本章节中未明确内容将在合同谈判中明确，招标人保留最终修订合同的权利，最终本合同以实际签订为准。）</w:t>
      </w:r>
    </w:p>
    <w:p w14:paraId="2EB042B4">
      <w:pPr>
        <w:ind w:firstLine="562" w:firstLineChars="200"/>
        <w:jc w:val="center"/>
        <w:rPr>
          <w:rFonts w:hint="eastAsia" w:ascii="宋体" w:hAnsi="宋体" w:cs="宋体"/>
          <w:b/>
          <w:sz w:val="28"/>
          <w:szCs w:val="28"/>
          <w:u w:val="single"/>
        </w:rPr>
      </w:pPr>
    </w:p>
    <w:p w14:paraId="394C4B16">
      <w:pPr>
        <w:widowControl/>
        <w:shd w:val="clear" w:color="auto" w:fill="FFFFFF"/>
        <w:spacing w:before="100" w:beforeAutospacing="1" w:after="100" w:afterAutospacing="1" w:line="360" w:lineRule="auto"/>
        <w:jc w:val="center"/>
        <w:rPr>
          <w:rFonts w:hint="eastAsia" w:ascii="宋体" w:hAnsi="宋体" w:eastAsia="宋体" w:cs="宋体"/>
          <w:b/>
          <w:color w:val="000000"/>
          <w:kern w:val="0"/>
          <w:sz w:val="28"/>
          <w:szCs w:val="28"/>
        </w:rPr>
      </w:pPr>
      <w:bookmarkStart w:id="281" w:name="_Toc19048"/>
      <w:bookmarkStart w:id="282" w:name="_Toc4199"/>
      <w:bookmarkStart w:id="283" w:name="_Toc10976"/>
      <w:bookmarkStart w:id="284" w:name="_Toc17686"/>
      <w:bookmarkStart w:id="285" w:name="_Toc26595"/>
      <w:bookmarkStart w:id="286" w:name="_Toc12801"/>
      <w:bookmarkStart w:id="287" w:name="_Toc18044"/>
      <w:bookmarkStart w:id="288" w:name="_Toc32547"/>
      <w:bookmarkStart w:id="289" w:name="_Toc7985"/>
      <w:bookmarkStart w:id="290" w:name="_Toc24399"/>
      <w:bookmarkStart w:id="291" w:name="_Toc420917856"/>
      <w:bookmarkStart w:id="292" w:name="_Toc23769"/>
      <w:bookmarkStart w:id="293" w:name="_Toc17326"/>
      <w:r>
        <w:rPr>
          <w:rFonts w:hint="eastAsia" w:ascii="宋体" w:hAnsi="宋体" w:eastAsia="宋体" w:cs="宋体"/>
          <w:b/>
          <w:color w:val="000000"/>
          <w:kern w:val="0"/>
          <w:sz w:val="28"/>
          <w:szCs w:val="28"/>
        </w:rPr>
        <w:t>劳  务  外  包  协  议</w:t>
      </w:r>
    </w:p>
    <w:p w14:paraId="046ED538">
      <w:pPr>
        <w:widowControl/>
        <w:shd w:val="clear" w:color="auto" w:fill="FFFFFF"/>
        <w:spacing w:before="100" w:beforeAutospacing="1" w:after="100" w:afterAutospacing="1" w:line="360" w:lineRule="auto"/>
        <w:jc w:val="cente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w:t>
      </w:r>
      <w:r>
        <w:rPr>
          <w:rFonts w:hint="eastAsia" w:ascii="宋体" w:hAnsi="宋体" w:eastAsia="宋体" w:cs="宋体"/>
          <w:b/>
          <w:color w:val="000000"/>
          <w:kern w:val="0"/>
          <w:sz w:val="28"/>
          <w:szCs w:val="28"/>
          <w:lang w:val="en-US" w:eastAsia="zh-CN"/>
        </w:rPr>
        <w:t xml:space="preserve">  二甲醚厂煤气化辅助岗位等 </w:t>
      </w:r>
      <w:r>
        <w:rPr>
          <w:rFonts w:hint="eastAsia" w:ascii="宋体" w:hAnsi="宋体" w:eastAsia="宋体" w:cs="宋体"/>
          <w:b/>
          <w:color w:val="000000"/>
          <w:kern w:val="0"/>
          <w:sz w:val="28"/>
          <w:szCs w:val="28"/>
        </w:rPr>
        <w:t>）</w:t>
      </w:r>
    </w:p>
    <w:p w14:paraId="5EC208F4">
      <w:pPr>
        <w:widowControl/>
        <w:shd w:val="clear" w:color="auto" w:fill="FFFFFF"/>
        <w:spacing w:before="100" w:beforeAutospacing="1" w:after="100" w:afterAutospacing="1" w:line="360" w:lineRule="auto"/>
        <w:jc w:val="both"/>
        <w:rPr>
          <w:rFonts w:hint="eastAsia" w:ascii="宋体" w:hAnsi="宋体" w:eastAsia="宋体" w:cs="宋体"/>
          <w:b/>
          <w:color w:val="000000"/>
          <w:kern w:val="0"/>
          <w:sz w:val="28"/>
          <w:szCs w:val="28"/>
        </w:rPr>
      </w:pPr>
    </w:p>
    <w:p w14:paraId="64FB6A68">
      <w:pPr>
        <w:widowControl/>
        <w:shd w:val="clear" w:color="auto" w:fill="FFFFFF"/>
        <w:spacing w:before="100" w:beforeAutospacing="1" w:after="100" w:afterAutospacing="1" w:line="360" w:lineRule="auto"/>
        <w:jc w:val="both"/>
        <w:rPr>
          <w:rFonts w:hint="eastAsia" w:ascii="宋体" w:hAnsi="宋体" w:eastAsia="宋体" w:cs="宋体"/>
          <w:b/>
          <w:color w:val="000000"/>
          <w:kern w:val="0"/>
          <w:sz w:val="28"/>
          <w:szCs w:val="28"/>
        </w:rPr>
      </w:pPr>
    </w:p>
    <w:p w14:paraId="2694934D">
      <w:pPr>
        <w:widowControl/>
        <w:shd w:val="clear" w:color="auto" w:fill="FFFFFF"/>
        <w:spacing w:before="100" w:beforeAutospacing="1" w:after="100" w:afterAutospacing="1" w:line="360" w:lineRule="auto"/>
        <w:jc w:val="center"/>
        <w:rPr>
          <w:rFonts w:hint="eastAsia" w:ascii="宋体" w:hAnsi="宋体" w:eastAsia="宋体" w:cs="宋体"/>
          <w:b/>
          <w:color w:val="000000"/>
          <w:kern w:val="0"/>
          <w:sz w:val="28"/>
          <w:szCs w:val="28"/>
        </w:rPr>
      </w:pPr>
    </w:p>
    <w:p w14:paraId="6CE460F0">
      <w:pPr>
        <w:widowControl/>
        <w:shd w:val="clear" w:color="auto" w:fill="FFFFFF"/>
        <w:spacing w:before="100" w:beforeAutospacing="1" w:after="100" w:afterAutospacing="1" w:line="360" w:lineRule="auto"/>
        <w:jc w:val="center"/>
        <w:rPr>
          <w:rFonts w:hint="eastAsia" w:ascii="宋体" w:hAnsi="宋体" w:eastAsia="宋体" w:cs="宋体"/>
          <w:b/>
          <w:color w:val="000000"/>
          <w:kern w:val="0"/>
          <w:sz w:val="28"/>
          <w:szCs w:val="28"/>
        </w:rPr>
      </w:pPr>
    </w:p>
    <w:p w14:paraId="5EE57A4D">
      <w:pPr>
        <w:widowControl/>
        <w:shd w:val="clear" w:color="auto" w:fill="FFFFFF"/>
        <w:tabs>
          <w:tab w:val="left" w:pos="2880"/>
          <w:tab w:val="left" w:pos="5940"/>
          <w:tab w:val="left" w:pos="6120"/>
        </w:tabs>
        <w:spacing w:before="100" w:beforeAutospacing="1" w:after="100" w:afterAutospacing="1" w:line="360" w:lineRule="auto"/>
        <w:ind w:left="2499" w:hanging="2499" w:hangingChars="889"/>
        <w:rPr>
          <w:rFonts w:hint="eastAsia" w:ascii="宋体" w:hAnsi="宋体" w:eastAsia="宋体" w:cs="宋体"/>
          <w:b/>
          <w:color w:val="000000"/>
          <w:kern w:val="0"/>
          <w:sz w:val="28"/>
          <w:szCs w:val="28"/>
          <w:u w:val="single"/>
        </w:rPr>
      </w:pPr>
      <w:r>
        <w:rPr>
          <w:rFonts w:hint="eastAsia" w:ascii="宋体" w:hAnsi="宋体" w:eastAsia="宋体" w:cs="宋体"/>
          <w:b/>
          <w:color w:val="000000"/>
          <w:kern w:val="0"/>
          <w:sz w:val="28"/>
          <w:szCs w:val="28"/>
        </w:rPr>
        <w:t xml:space="preserve">   甲  方：</w:t>
      </w:r>
      <w:r>
        <w:rPr>
          <w:rFonts w:hint="eastAsia" w:ascii="宋体" w:hAnsi="宋体" w:eastAsia="宋体" w:cs="宋体"/>
          <w:b/>
          <w:color w:val="000000"/>
          <w:kern w:val="0"/>
          <w:sz w:val="28"/>
          <w:szCs w:val="28"/>
          <w:u w:val="single"/>
        </w:rPr>
        <w:t>云南解化清洁能源开发有限公司解化化工分公司</w:t>
      </w:r>
    </w:p>
    <w:p w14:paraId="4347EBF1">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u w:val="single"/>
        </w:rPr>
      </w:pPr>
      <w:r>
        <w:rPr>
          <w:rFonts w:hint="eastAsia" w:ascii="宋体" w:hAnsi="宋体" w:eastAsia="宋体" w:cs="宋体"/>
          <w:b/>
          <w:color w:val="000000"/>
          <w:kern w:val="0"/>
          <w:sz w:val="28"/>
          <w:szCs w:val="28"/>
        </w:rPr>
        <w:t xml:space="preserve"> </w:t>
      </w:r>
      <w:r>
        <w:rPr>
          <w:rFonts w:hint="eastAsia" w:ascii="宋体" w:hAnsi="宋体" w:eastAsia="宋体" w:cs="宋体"/>
          <w:b/>
          <w:color w:val="000000"/>
          <w:kern w:val="0"/>
          <w:sz w:val="28"/>
          <w:szCs w:val="28"/>
          <w:lang w:val="en-US" w:eastAsia="zh-CN"/>
        </w:rPr>
        <w:t xml:space="preserve"> </w:t>
      </w:r>
      <w:r>
        <w:rPr>
          <w:rFonts w:hint="eastAsia" w:ascii="宋体" w:hAnsi="宋体" w:eastAsia="宋体" w:cs="宋体"/>
          <w:b/>
          <w:color w:val="000000"/>
          <w:kern w:val="0"/>
          <w:sz w:val="28"/>
          <w:szCs w:val="28"/>
        </w:rPr>
        <w:t xml:space="preserve"> 乙  方：</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p>
    <w:p w14:paraId="2ED257E2">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u w:val="single"/>
        </w:rPr>
      </w:pPr>
    </w:p>
    <w:p w14:paraId="3DBDF2A5">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u w:val="single"/>
        </w:rPr>
      </w:pPr>
    </w:p>
    <w:p w14:paraId="59189C3A">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协议期限：</w:t>
      </w:r>
      <w:r>
        <w:rPr>
          <w:rFonts w:hint="eastAsia" w:ascii="宋体" w:hAnsi="宋体" w:eastAsia="宋体" w:cs="宋体"/>
          <w:b/>
          <w:color w:val="000000"/>
          <w:kern w:val="0"/>
          <w:sz w:val="28"/>
          <w:szCs w:val="28"/>
          <w:u w:val="single"/>
          <w:lang w:val="en-US" w:eastAsia="zh-CN"/>
        </w:rPr>
        <w:t xml:space="preserve">2026 </w:t>
      </w:r>
      <w:r>
        <w:rPr>
          <w:rFonts w:hint="eastAsia" w:ascii="宋体" w:hAnsi="宋体" w:eastAsia="宋体" w:cs="宋体"/>
          <w:b/>
          <w:color w:val="000000"/>
          <w:kern w:val="0"/>
          <w:sz w:val="28"/>
          <w:szCs w:val="28"/>
        </w:rPr>
        <w:t>年</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rPr>
        <w:t>月</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rPr>
        <w:t>日至</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u w:val="single"/>
          <w:lang w:val="en-US" w:eastAsia="zh-CN"/>
        </w:rPr>
        <w:t xml:space="preserve">2027 </w:t>
      </w:r>
      <w:r>
        <w:rPr>
          <w:rFonts w:hint="eastAsia" w:ascii="宋体" w:hAnsi="宋体" w:eastAsia="宋体" w:cs="宋体"/>
          <w:b/>
          <w:color w:val="000000"/>
          <w:kern w:val="0"/>
          <w:sz w:val="28"/>
          <w:szCs w:val="28"/>
        </w:rPr>
        <w:t>年</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rPr>
        <w:t>月</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rPr>
        <w:t>日</w:t>
      </w:r>
    </w:p>
    <w:p w14:paraId="6DAFFF91">
      <w:pPr>
        <w:widowControl/>
        <w:shd w:val="clear" w:color="auto" w:fill="FFFFFF"/>
        <w:spacing w:before="100" w:beforeAutospacing="1" w:after="100" w:afterAutospacing="1" w:line="360" w:lineRule="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签订日期：</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rPr>
        <w:t>年</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rPr>
        <w:t>月</w:t>
      </w:r>
      <w:r>
        <w:rPr>
          <w:rFonts w:hint="eastAsia" w:ascii="宋体" w:hAnsi="宋体" w:eastAsia="宋体" w:cs="宋体"/>
          <w:b/>
          <w:color w:val="000000"/>
          <w:kern w:val="0"/>
          <w:sz w:val="28"/>
          <w:szCs w:val="28"/>
          <w:u w:val="single"/>
          <w:lang w:val="en-US" w:eastAsia="zh-CN"/>
        </w:rPr>
        <w:t xml:space="preserve">  </w:t>
      </w:r>
      <w:r>
        <w:rPr>
          <w:rFonts w:hint="eastAsia" w:ascii="宋体" w:hAnsi="宋体" w:eastAsia="宋体" w:cs="宋体"/>
          <w:b/>
          <w:color w:val="000000"/>
          <w:kern w:val="0"/>
          <w:sz w:val="28"/>
          <w:szCs w:val="28"/>
          <w:u w:val="single"/>
        </w:rPr>
        <w:t xml:space="preserve">  </w:t>
      </w:r>
      <w:r>
        <w:rPr>
          <w:rFonts w:hint="eastAsia" w:ascii="宋体" w:hAnsi="宋体" w:eastAsia="宋体" w:cs="宋体"/>
          <w:b/>
          <w:color w:val="000000"/>
          <w:kern w:val="0"/>
          <w:sz w:val="28"/>
          <w:szCs w:val="28"/>
        </w:rPr>
        <w:t xml:space="preserve">日  </w:t>
      </w:r>
    </w:p>
    <w:p w14:paraId="2A85F40E">
      <w:pPr>
        <w:spacing w:line="360" w:lineRule="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572A5144">
      <w:pPr>
        <w:widowControl/>
        <w:shd w:val="clear" w:color="auto" w:fill="FFFFFF"/>
        <w:spacing w:before="100" w:beforeAutospacing="1" w:after="100" w:afterAutospacing="1" w:line="360" w:lineRule="auto"/>
        <w:rPr>
          <w:rFonts w:hint="eastAsia" w:ascii="宋体" w:hAnsi="宋体" w:eastAsia="宋体" w:cs="宋体"/>
          <w:b/>
          <w:color w:val="000000"/>
          <w:kern w:val="0"/>
          <w:sz w:val="24"/>
          <w:szCs w:val="24"/>
          <w:u w:val="single"/>
        </w:rPr>
      </w:pPr>
      <w:r>
        <w:rPr>
          <w:rFonts w:hint="eastAsia" w:ascii="宋体" w:hAnsi="宋体" w:eastAsia="宋体" w:cs="宋体"/>
          <w:b/>
          <w:color w:val="000000"/>
          <w:kern w:val="0"/>
          <w:sz w:val="24"/>
          <w:szCs w:val="24"/>
        </w:rPr>
        <w:t>甲  方（劳务发包单位）：</w:t>
      </w:r>
      <w:r>
        <w:rPr>
          <w:rFonts w:hint="eastAsia" w:ascii="宋体" w:hAnsi="宋体" w:eastAsia="宋体" w:cs="宋体"/>
          <w:b/>
          <w:color w:val="000000"/>
          <w:kern w:val="0"/>
          <w:sz w:val="24"/>
          <w:szCs w:val="24"/>
          <w:u w:val="single"/>
        </w:rPr>
        <w:t>云南解化清洁能源开发有限公司解化化工分公司</w:t>
      </w:r>
    </w:p>
    <w:p w14:paraId="3887BBE9">
      <w:pPr>
        <w:widowControl/>
        <w:shd w:val="clear" w:color="auto" w:fill="FFFFFF"/>
        <w:spacing w:before="100" w:beforeAutospacing="1" w:after="100" w:afterAutospacing="1" w:line="360" w:lineRule="auto"/>
        <w:jc w:val="left"/>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地  址：</w:t>
      </w:r>
      <w:r>
        <w:rPr>
          <w:rFonts w:hint="eastAsia" w:ascii="宋体" w:hAnsi="宋体" w:eastAsia="宋体" w:cs="宋体"/>
          <w:b/>
          <w:color w:val="000000"/>
          <w:kern w:val="0"/>
          <w:sz w:val="24"/>
          <w:szCs w:val="24"/>
          <w:u w:val="single"/>
        </w:rPr>
        <w:t xml:space="preserve">  开远市小花桥  </w:t>
      </w:r>
      <w:r>
        <w:rPr>
          <w:rFonts w:hint="eastAsia" w:ascii="宋体" w:hAnsi="宋体" w:eastAsia="宋体" w:cs="宋体"/>
          <w:b/>
          <w:color w:val="000000"/>
          <w:kern w:val="0"/>
          <w:sz w:val="24"/>
          <w:szCs w:val="24"/>
        </w:rPr>
        <w:t xml:space="preserve">      联系电话：</w:t>
      </w:r>
      <w:r>
        <w:rPr>
          <w:rFonts w:hint="eastAsia" w:ascii="宋体" w:hAnsi="宋体" w:eastAsia="宋体" w:cs="宋体"/>
          <w:color w:val="000000"/>
          <w:kern w:val="0"/>
          <w:sz w:val="24"/>
          <w:szCs w:val="24"/>
          <w:u w:val="single"/>
        </w:rPr>
        <w:t xml:space="preserve">  </w:t>
      </w:r>
      <w:r>
        <w:rPr>
          <w:rFonts w:hint="eastAsia" w:ascii="宋体" w:hAnsi="宋体" w:eastAsia="宋体" w:cs="宋体"/>
          <w:b/>
          <w:color w:val="000000"/>
          <w:kern w:val="0"/>
          <w:sz w:val="24"/>
          <w:szCs w:val="24"/>
          <w:u w:val="single"/>
        </w:rPr>
        <w:t xml:space="preserve"> 7163362   </w:t>
      </w:r>
    </w:p>
    <w:p w14:paraId="3341B2C5">
      <w:pPr>
        <w:keepNext w:val="0"/>
        <w:keepLines w:val="0"/>
        <w:widowControl/>
        <w:suppressLineNumbers w:val="0"/>
        <w:shd w:val="clear" w:color="auto" w:fill="FFFFFF"/>
        <w:spacing w:before="100" w:beforeAutospacing="1" w:after="100" w:afterAutospacing="1" w:line="360" w:lineRule="auto"/>
        <w:ind w:left="0" w:right="0"/>
        <w:jc w:val="left"/>
        <w:rPr>
          <w:rFonts w:hint="eastAsia" w:ascii="宋体" w:hAnsi="宋体" w:eastAsia="宋体" w:cs="宋体"/>
          <w:color w:val="000000"/>
          <w:kern w:val="0"/>
          <w:sz w:val="24"/>
          <w:szCs w:val="24"/>
          <w:shd w:val="clear" w:color="auto" w:fill="FFFFFF"/>
        </w:rPr>
      </w:pPr>
      <w:r>
        <w:rPr>
          <w:rFonts w:hint="eastAsia" w:ascii="宋体" w:hAnsi="宋体" w:eastAsia="宋体" w:cs="宋体"/>
          <w:b/>
          <w:bCs w:val="0"/>
          <w:color w:val="000000"/>
          <w:kern w:val="0"/>
          <w:sz w:val="24"/>
          <w:szCs w:val="24"/>
          <w:shd w:val="clear" w:color="auto" w:fill="FFFFFF"/>
          <w:lang w:val="en-US" w:eastAsia="zh-CN" w:bidi="ar"/>
        </w:rPr>
        <w:t>乙  方（劳务承包单位）：</w:t>
      </w:r>
      <w:r>
        <w:rPr>
          <w:rFonts w:hint="eastAsia" w:ascii="宋体" w:hAnsi="宋体" w:eastAsia="宋体" w:cs="宋体"/>
          <w:b/>
          <w:bCs w:val="0"/>
          <w:color w:val="000000"/>
          <w:kern w:val="0"/>
          <w:sz w:val="24"/>
          <w:szCs w:val="24"/>
          <w:u w:val="single"/>
          <w:shd w:val="clear" w:color="auto" w:fill="FFFFFF"/>
          <w:lang w:val="en-US" w:eastAsia="zh-CN" w:bidi="ar"/>
        </w:rPr>
        <w:t xml:space="preserve">                </w:t>
      </w:r>
    </w:p>
    <w:p w14:paraId="2CF86386">
      <w:pPr>
        <w:keepNext w:val="0"/>
        <w:keepLines w:val="0"/>
        <w:widowControl/>
        <w:suppressLineNumbers w:val="0"/>
        <w:shd w:val="clear" w:color="auto" w:fill="FFFFFF"/>
        <w:spacing w:before="100" w:beforeAutospacing="1" w:after="100" w:afterAutospacing="1" w:line="360" w:lineRule="auto"/>
        <w:ind w:left="0" w:right="0"/>
        <w:jc w:val="left"/>
        <w:rPr>
          <w:rFonts w:hint="eastAsia" w:ascii="宋体" w:hAnsi="宋体" w:eastAsia="宋体" w:cs="宋体"/>
          <w:b/>
          <w:bCs w:val="0"/>
          <w:color w:val="000000"/>
          <w:kern w:val="0"/>
          <w:sz w:val="24"/>
          <w:szCs w:val="24"/>
          <w:shd w:val="clear" w:color="auto" w:fill="FFFFFF"/>
        </w:rPr>
      </w:pPr>
      <w:r>
        <w:rPr>
          <w:rFonts w:hint="eastAsia" w:ascii="宋体" w:hAnsi="宋体" w:eastAsia="宋体" w:cs="宋体"/>
          <w:b/>
          <w:bCs w:val="0"/>
          <w:color w:val="000000"/>
          <w:kern w:val="0"/>
          <w:sz w:val="24"/>
          <w:szCs w:val="24"/>
          <w:shd w:val="clear" w:color="auto" w:fill="FFFFFF"/>
          <w:lang w:val="en-US" w:eastAsia="zh-CN" w:bidi="ar"/>
        </w:rPr>
        <w:t>地  址：</w:t>
      </w:r>
      <w:r>
        <w:rPr>
          <w:rFonts w:hint="eastAsia" w:ascii="宋体" w:hAnsi="宋体" w:eastAsia="宋体" w:cs="宋体"/>
          <w:b/>
          <w:bCs w:val="0"/>
          <w:color w:val="000000"/>
          <w:kern w:val="0"/>
          <w:sz w:val="24"/>
          <w:szCs w:val="24"/>
          <w:u w:val="single"/>
          <w:shd w:val="clear" w:color="auto" w:fill="FFFFFF"/>
          <w:lang w:val="en-US" w:eastAsia="zh-CN" w:bidi="ar"/>
        </w:rPr>
        <w:t xml:space="preserve">              </w:t>
      </w:r>
      <w:r>
        <w:rPr>
          <w:rFonts w:hint="eastAsia" w:ascii="宋体" w:hAnsi="宋体" w:eastAsia="宋体" w:cs="宋体"/>
          <w:b/>
          <w:bCs w:val="0"/>
          <w:color w:val="000000"/>
          <w:kern w:val="0"/>
          <w:sz w:val="24"/>
          <w:szCs w:val="24"/>
          <w:shd w:val="clear" w:color="auto" w:fill="FFFFFF"/>
          <w:lang w:val="en-US" w:eastAsia="zh-CN" w:bidi="ar"/>
        </w:rPr>
        <w:t xml:space="preserve">      联系电话： </w:t>
      </w:r>
      <w:r>
        <w:rPr>
          <w:rFonts w:hint="eastAsia" w:ascii="宋体" w:hAnsi="宋体" w:eastAsia="宋体" w:cs="宋体"/>
          <w:b/>
          <w:bCs w:val="0"/>
          <w:color w:val="000000"/>
          <w:kern w:val="0"/>
          <w:sz w:val="24"/>
          <w:szCs w:val="24"/>
          <w:u w:val="single"/>
          <w:shd w:val="clear" w:color="auto" w:fill="FFFFFF"/>
          <w:lang w:val="en-US" w:eastAsia="zh-CN" w:bidi="ar"/>
        </w:rPr>
        <w:t xml:space="preserve">                 </w:t>
      </w:r>
    </w:p>
    <w:p w14:paraId="4AA4FCA1">
      <w:pPr>
        <w:widowControl/>
        <w:shd w:val="clear" w:color="auto" w:fill="FFFFFF"/>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甲乙双方依据《中华人民共和国民法典》等相关法律法规的规定，根据平等自愿、互利互惠的原则，现就乙方为甲方提供劳务服务的有关事宜，订立如下协议，双方共同遵守。</w:t>
      </w:r>
    </w:p>
    <w:p w14:paraId="01AFD1F6">
      <w:pPr>
        <w:widowControl/>
        <w:shd w:val="clear" w:color="auto" w:fill="FFFFFF"/>
        <w:tabs>
          <w:tab w:val="left" w:pos="0"/>
        </w:tabs>
        <w:spacing w:line="360" w:lineRule="auto"/>
        <w:ind w:left="551"/>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一、劳务外包期限</w:t>
      </w:r>
    </w:p>
    <w:p w14:paraId="23CC9D13">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本协议期限自</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2026 </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日起至</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2027 </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日止。</w:t>
      </w:r>
    </w:p>
    <w:p w14:paraId="75951316">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w:t>
      </w:r>
      <w:r>
        <w:rPr>
          <w:rFonts w:hint="eastAsia" w:ascii="宋体" w:hAnsi="宋体" w:eastAsia="宋体" w:cs="宋体"/>
          <w:b/>
          <w:color w:val="000000"/>
          <w:kern w:val="0"/>
          <w:sz w:val="21"/>
          <w:szCs w:val="21"/>
        </w:rPr>
        <w:t>本协议工作内容</w:t>
      </w:r>
    </w:p>
    <w:p w14:paraId="03C16DFD">
      <w:pPr>
        <w:spacing w:line="360" w:lineRule="auto"/>
        <w:ind w:firstLine="315" w:firstLineChars="150"/>
        <w:rPr>
          <w:rFonts w:hint="eastAsia" w:ascii="宋体" w:hAnsi="宋体" w:eastAsia="宋体" w:cs="宋体"/>
          <w:color w:val="000000"/>
          <w:kern w:val="0"/>
          <w:sz w:val="21"/>
          <w:szCs w:val="21"/>
          <w:lang w:eastAsia="zh-CN"/>
        </w:rPr>
      </w:pPr>
      <w:bookmarkStart w:id="294" w:name="OLE_LINK5"/>
      <w:r>
        <w:rPr>
          <w:rFonts w:hint="eastAsia" w:ascii="宋体" w:hAnsi="宋体" w:eastAsia="宋体" w:cs="宋体"/>
          <w:color w:val="000000"/>
          <w:kern w:val="0"/>
          <w:sz w:val="21"/>
          <w:szCs w:val="21"/>
        </w:rPr>
        <w:t xml:space="preserve"> 1.乙方负责为甲方制气车间</w:t>
      </w:r>
      <w:r>
        <w:rPr>
          <w:rFonts w:hint="eastAsia" w:ascii="宋体" w:hAnsi="宋体" w:eastAsia="宋体" w:cs="宋体"/>
          <w:color w:val="000000"/>
          <w:kern w:val="0"/>
          <w:sz w:val="21"/>
          <w:szCs w:val="21"/>
          <w:lang w:eastAsia="zh-CN"/>
        </w:rPr>
        <w:t>提供</w:t>
      </w:r>
      <w:r>
        <w:rPr>
          <w:rFonts w:hint="eastAsia" w:ascii="宋体" w:hAnsi="宋体" w:eastAsia="宋体" w:cs="宋体"/>
          <w:color w:val="000000"/>
          <w:kern w:val="0"/>
          <w:sz w:val="21"/>
          <w:szCs w:val="21"/>
        </w:rPr>
        <w:t>煤气化岗位辅助及</w:t>
      </w:r>
      <w:r>
        <w:rPr>
          <w:rFonts w:hint="eastAsia" w:ascii="宋体" w:hAnsi="宋体" w:eastAsia="宋体" w:cs="宋体"/>
          <w:color w:val="000000"/>
          <w:kern w:val="0"/>
          <w:sz w:val="21"/>
          <w:szCs w:val="21"/>
          <w:lang w:eastAsia="zh-CN"/>
        </w:rPr>
        <w:t>现场</w:t>
      </w:r>
      <w:r>
        <w:rPr>
          <w:rFonts w:hint="eastAsia" w:ascii="宋体" w:hAnsi="宋体" w:eastAsia="宋体" w:cs="宋体"/>
          <w:color w:val="000000"/>
          <w:kern w:val="0"/>
          <w:sz w:val="21"/>
          <w:szCs w:val="21"/>
        </w:rPr>
        <w:t>卫生清扫工作。</w:t>
      </w:r>
      <w:r>
        <w:rPr>
          <w:rFonts w:hint="eastAsia" w:ascii="宋体" w:hAnsi="宋体" w:eastAsia="宋体" w:cs="宋体"/>
          <w:color w:val="000000"/>
          <w:kern w:val="0"/>
          <w:sz w:val="21"/>
          <w:szCs w:val="21"/>
          <w:lang w:eastAsia="zh-CN"/>
        </w:rPr>
        <w:t>具体如下：</w:t>
      </w:r>
    </w:p>
    <w:bookmarkEnd w:id="294"/>
    <w:p w14:paraId="113F262D">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（1）负责气化炉1-8楼及渣浆泵房地面及设备卫生，周边绿化卫生管理。</w:t>
      </w:r>
    </w:p>
    <w:p w14:paraId="30E2E639">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（2）制气车间煤气化岗位辅助工作，（加焦30吨/次，每次炉子大修完毕后配合加焦；疏通1-5#炉激冷室冷却器，每台冷却器3-6个月疏通一次；疏通1-3#炉废锅，每台废锅4-6个月疏通一次）、工作场所卫生清扫工作。</w:t>
      </w:r>
    </w:p>
    <w:p w14:paraId="03EB4D37">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（3）负责1-5#炉煤尘分离器放煤工作,每周1次。</w:t>
      </w:r>
    </w:p>
    <w:p w14:paraId="6A6926A0">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（4）负责现场临时整改的围栏、管道、楼板等部分防腐工作。</w:t>
      </w:r>
    </w:p>
    <w:p w14:paraId="6E58EC8F">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（5）气化厂房四周公共道路的卫生，当班期间要服从车间安排的临时任务,需加班加焦或疏通冷却器、废锅等紧急工作时，需随叫随到。</w:t>
      </w:r>
    </w:p>
    <w:p w14:paraId="6D77A73F">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（6）要求</w:t>
      </w:r>
      <w:r>
        <w:rPr>
          <w:rFonts w:hint="eastAsia" w:ascii="宋体" w:hAnsi="宋体" w:cs="宋体"/>
          <w:color w:val="000000"/>
          <w:kern w:val="0"/>
          <w:sz w:val="21"/>
          <w:szCs w:val="21"/>
          <w:lang w:val="en-US" w:eastAsia="zh-CN"/>
        </w:rPr>
        <w:t>白班至少</w:t>
      </w:r>
      <w:r>
        <w:rPr>
          <w:rFonts w:hint="eastAsia" w:ascii="宋体" w:hAnsi="宋体" w:eastAsia="宋体" w:cs="宋体"/>
          <w:color w:val="000000"/>
          <w:kern w:val="0"/>
          <w:sz w:val="21"/>
          <w:szCs w:val="21"/>
        </w:rPr>
        <w:t>8人，男工至少3人及以上，工作时间 ：每班8小时，每月休息4天，身体健康。 年龄：50周岁以下。</w:t>
      </w:r>
    </w:p>
    <w:p w14:paraId="73FF4868">
      <w:pPr>
        <w:spacing w:line="360" w:lineRule="auto"/>
        <w:ind w:firstLine="315" w:firstLineChars="1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.乙方负责为甲方煤气水分离装置</w:t>
      </w:r>
      <w:r>
        <w:rPr>
          <w:rFonts w:hint="eastAsia" w:ascii="宋体" w:hAnsi="宋体" w:eastAsia="宋体" w:cs="宋体"/>
          <w:color w:val="000000"/>
          <w:kern w:val="0"/>
          <w:sz w:val="21"/>
          <w:szCs w:val="21"/>
          <w:lang w:eastAsia="zh-CN"/>
        </w:rPr>
        <w:t>提供</w:t>
      </w:r>
      <w:r>
        <w:rPr>
          <w:rFonts w:hint="eastAsia" w:ascii="宋体" w:hAnsi="宋体" w:eastAsia="宋体" w:cs="宋体"/>
          <w:color w:val="000000"/>
          <w:kern w:val="0"/>
          <w:sz w:val="21"/>
          <w:szCs w:val="21"/>
        </w:rPr>
        <w:t>辅助</w:t>
      </w:r>
      <w:r>
        <w:rPr>
          <w:rFonts w:hint="eastAsia" w:ascii="宋体" w:hAnsi="宋体" w:eastAsia="宋体" w:cs="宋体"/>
          <w:color w:val="000000"/>
          <w:kern w:val="0"/>
          <w:sz w:val="21"/>
          <w:szCs w:val="21"/>
          <w:lang w:eastAsia="zh-CN"/>
        </w:rPr>
        <w:t>工作</w:t>
      </w:r>
      <w:r>
        <w:rPr>
          <w:rFonts w:hint="eastAsia" w:ascii="宋体" w:hAnsi="宋体" w:eastAsia="宋体" w:cs="宋体"/>
          <w:color w:val="000000"/>
          <w:kern w:val="0"/>
          <w:sz w:val="21"/>
          <w:szCs w:val="21"/>
        </w:rPr>
        <w:t>。具体如下：</w:t>
      </w:r>
    </w:p>
    <w:p w14:paraId="34EBC031">
      <w:pPr>
        <w:spacing w:line="360" w:lineRule="auto"/>
        <w:ind w:firstLine="315" w:firstLineChars="15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参与623装置的生产运行工作，负责当班期间623装置的生产运行维护工作，包含设备排污、运转设备启/停、煤泥输送、6#油输送、设备隔离/倒换等日常工作。跟班倒人员：4人，人员要求：男性，高中及以上学历 年龄：40周岁以下。</w:t>
      </w:r>
    </w:p>
    <w:p w14:paraId="37F8A967">
      <w:pPr>
        <w:spacing w:line="360" w:lineRule="auto"/>
        <w:ind w:firstLine="315" w:firstLineChars="15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（2）负责5台盘</w:t>
      </w:r>
      <w:r>
        <w:rPr>
          <w:rFonts w:hint="eastAsia" w:ascii="宋体" w:hAnsi="宋体" w:cs="宋体"/>
          <w:color w:val="000000"/>
          <w:kern w:val="0"/>
          <w:sz w:val="21"/>
          <w:szCs w:val="21"/>
          <w:lang w:val="en-US" w:eastAsia="zh-CN"/>
        </w:rPr>
        <w:t>管</w:t>
      </w:r>
      <w:r>
        <w:rPr>
          <w:rFonts w:hint="eastAsia" w:ascii="宋体" w:hAnsi="宋体" w:eastAsia="宋体" w:cs="宋体"/>
          <w:color w:val="000000"/>
          <w:kern w:val="0"/>
          <w:sz w:val="21"/>
          <w:szCs w:val="21"/>
          <w:lang w:val="en-US" w:eastAsia="zh-CN"/>
        </w:rPr>
        <w:t>冷却器的除垢清理、4台平流分离器、4台焦油分离器的日常倒换清洗、离心机系统的维护疏通以及装置现场卫生清理工作，服从车间调度参与其它装置的应急突击工作。白班人员：6人，人员要求：男性 初中及以上学历 年龄：50周岁以下。</w:t>
      </w:r>
    </w:p>
    <w:p w14:paraId="4F8F71EA">
      <w:pPr>
        <w:spacing w:line="360" w:lineRule="auto"/>
        <w:ind w:firstLine="316" w:firstLineChars="150"/>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三、劳务费用的结算(计价)与支付时间</w:t>
      </w:r>
    </w:p>
    <w:p w14:paraId="213424C4">
      <w:pPr>
        <w:widowControl/>
        <w:shd w:val="clear" w:color="auto" w:fill="FFFFFF"/>
        <w:spacing w:before="100" w:beforeAutospacing="1" w:after="100" w:afterAutospacing="1" w:line="360" w:lineRule="auto"/>
        <w:ind w:firstLine="411" w:firstLineChars="196"/>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劳务费用的结算以</w:t>
      </w:r>
      <w:r>
        <w:rPr>
          <w:rFonts w:hint="eastAsia" w:ascii="宋体" w:hAnsi="宋体" w:eastAsia="宋体" w:cs="宋体"/>
          <w:color w:val="000000"/>
          <w:kern w:val="0"/>
          <w:sz w:val="21"/>
          <w:szCs w:val="21"/>
          <w:u w:val="single"/>
        </w:rPr>
        <w:t>总费用包干</w:t>
      </w:r>
      <w:r>
        <w:rPr>
          <w:rFonts w:hint="eastAsia" w:ascii="宋体" w:hAnsi="宋体" w:eastAsia="宋体" w:cs="宋体"/>
          <w:color w:val="000000"/>
          <w:kern w:val="0"/>
          <w:sz w:val="21"/>
          <w:szCs w:val="21"/>
        </w:rPr>
        <w:t>形式结算，费用</w:t>
      </w:r>
      <w:r>
        <w:rPr>
          <w:rFonts w:hint="eastAsia" w:ascii="宋体" w:hAnsi="宋体" w:eastAsia="宋体" w:cs="宋体"/>
          <w:b/>
          <w:color w:val="000000"/>
          <w:kern w:val="0"/>
          <w:sz w:val="21"/>
          <w:szCs w:val="21"/>
          <w:u w:val="single"/>
        </w:rPr>
        <w:t xml:space="preserve"> </w:t>
      </w:r>
      <w:r>
        <w:rPr>
          <w:rFonts w:hint="eastAsia" w:ascii="宋体" w:hAnsi="宋体" w:eastAsia="宋体" w:cs="宋体"/>
          <w:b/>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元/月。(不含税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元，税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元)</w:t>
      </w:r>
    </w:p>
    <w:p w14:paraId="11B35BAB">
      <w:pPr>
        <w:widowControl/>
        <w:shd w:val="clear" w:color="auto" w:fill="FFFFFF"/>
        <w:spacing w:before="100" w:beforeAutospacing="1" w:after="100" w:afterAutospacing="1" w:line="360" w:lineRule="auto"/>
        <w:ind w:firstLine="411" w:firstLineChars="196"/>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劳务费用包含劳务工资（含节假日和平时加班费）、管理费、税金、保险、劳动保护等费用。（上述费用为乙方人员按时到岗且无任何违反法律法规，无违反本合同约定义务的行为，且按时按量完成工作情况下甲方所需支付的费用）。</w:t>
      </w:r>
      <w:r>
        <w:rPr>
          <w:rFonts w:hint="eastAsia" w:ascii="宋体" w:hAnsi="宋体" w:eastAsia="宋体" w:cs="宋体"/>
          <w:color w:val="000000"/>
          <w:kern w:val="0"/>
          <w:sz w:val="21"/>
          <w:szCs w:val="21"/>
          <w:lang w:val="en-US" w:eastAsia="zh-CN"/>
        </w:rPr>
        <w:t>623装置生产运行人员若学历不达标不允许进入工作岗位，</w:t>
      </w:r>
      <w:r>
        <w:rPr>
          <w:rFonts w:hint="eastAsia" w:ascii="宋体" w:hAnsi="宋体" w:cs="宋体"/>
          <w:color w:val="000000"/>
          <w:kern w:val="0"/>
          <w:sz w:val="21"/>
          <w:szCs w:val="21"/>
          <w:lang w:val="en-US" w:eastAsia="zh-CN"/>
        </w:rPr>
        <w:t>如不符合该要求，</w:t>
      </w:r>
      <w:r>
        <w:rPr>
          <w:rFonts w:hint="eastAsia" w:ascii="宋体" w:hAnsi="宋体" w:eastAsia="宋体" w:cs="宋体"/>
          <w:color w:val="000000"/>
          <w:kern w:val="0"/>
          <w:sz w:val="21"/>
          <w:szCs w:val="21"/>
          <w:lang w:val="en-US" w:eastAsia="zh-CN"/>
        </w:rPr>
        <w:t>按4000元/人/月标准进行考核</w:t>
      </w:r>
      <w:r>
        <w:rPr>
          <w:rFonts w:hint="eastAsia" w:ascii="宋体" w:hAnsi="宋体" w:cs="宋体"/>
          <w:color w:val="000000"/>
          <w:kern w:val="0"/>
          <w:sz w:val="21"/>
          <w:szCs w:val="21"/>
          <w:lang w:val="en-US" w:eastAsia="zh-CN"/>
        </w:rPr>
        <w:t>扣款</w:t>
      </w:r>
      <w:r>
        <w:rPr>
          <w:rFonts w:hint="eastAsia" w:ascii="宋体" w:hAnsi="宋体" w:eastAsia="宋体" w:cs="宋体"/>
          <w:color w:val="000000"/>
          <w:kern w:val="0"/>
          <w:sz w:val="21"/>
          <w:szCs w:val="21"/>
          <w:lang w:val="en-US" w:eastAsia="zh-CN"/>
        </w:rPr>
        <w:t>。</w:t>
      </w:r>
    </w:p>
    <w:p w14:paraId="5D9CC1C2">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3.劳务费用结算时，根据考核结果确认应结算金额（结算时扣除乙方应支付的违约金和考核扣款金额），须经用工单位领导签字，党委工作与人力资源部审核，分管领导签字审批后，乙方开具  %的增值税专用发票，附劳务费用结算清单到甲方财务部结算、支付。  </w:t>
      </w:r>
    </w:p>
    <w:p w14:paraId="29ED851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 xml:space="preserve">.劳务费用结算时用工单位和党委工作与人力资源部对劳务完成情况等工作内容进行考核，填写劳务用工监督考核表，核对扣款金额后进入当月结算程序。       </w:t>
      </w:r>
    </w:p>
    <w:p w14:paraId="68F7C49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按月支付，先服务后付费，上月费用由甲方考核完成，并经乙方签字盖章确认后，按国家规定提供真实有效的税控发票挂账结算，甲方根据所确认考核结果和有效税控发票，于第三个月的5日前进行支付(特殊情况或法定假日可适当后延)。</w:t>
      </w:r>
    </w:p>
    <w:p w14:paraId="502AA7BD">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四、甲方的权利和义务</w:t>
      </w:r>
    </w:p>
    <w:p w14:paraId="5E4F20EE">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甲方有权根据国家规定制定相应的技术要求，对乙方劳务人员在现场的工作进行技术指导，对乙方履行协议情况进行监督和考核（考核标准作为本协议附件予以履行）。给甲方造成经济损失有权追究乙方责任。如乙方所提供的劳务服务不符合本合同约定，甲方有权要求乙方予以整改，由此而产生的费用由乙方承担。</w:t>
      </w:r>
    </w:p>
    <w:p w14:paraId="6C1F0134">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甲方配合乙方告知乙方劳务人员与现场工作有关的安全风险，配合乙方对乙方劳务人员进行岗位安全操作规程和安全操作技能的教育和培训，乙方应建立教育和培训档案，如实记录安全生产教育和培训的时间、内容、参加人员以及考核结果等情况。发生人身伤亡等安全事故，由乙方承担全部责任，若因此而给甲方造成损失，由乙方负责赔偿。</w:t>
      </w:r>
    </w:p>
    <w:p w14:paraId="5F0516A7">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3.乙方按甲方要求完成工作任务后，甲方应按双方约定的费用结算方式按月支付劳务费给乙方。</w:t>
      </w:r>
    </w:p>
    <w:p w14:paraId="2CACAA7D">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4.甲方为乙方人员提供必要的工作条件及工作期间的休息场所。</w:t>
      </w:r>
    </w:p>
    <w:p w14:paraId="705F68B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5.乙方劳务人员存在下列情况之一的，乙方应重新更换人员，涉及经济处罚或经济赔偿等问题时，按照甲方相关规章制度处理。</w:t>
      </w:r>
    </w:p>
    <w:p w14:paraId="4A35074F">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（1）严重违反甲方生产纪律和各项管理规章制度的。</w:t>
      </w:r>
    </w:p>
    <w:p w14:paraId="448E5B82">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（2）严重失职，给甲方造成重大经济损失的。</w:t>
      </w:r>
    </w:p>
    <w:p w14:paraId="085D10DE">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（3）被依法追究刑事责任的。</w:t>
      </w:r>
    </w:p>
    <w:p w14:paraId="14DC2886">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五、乙方的权利和义务</w:t>
      </w:r>
    </w:p>
    <w:p w14:paraId="0D7DC86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1.乙方应当与劳务人员签订书面劳务合同，向劳务人员支付不低于法定最低工资标准的工资，并按照国家的有关规定为劳务人员办理保险。</w:t>
      </w:r>
    </w:p>
    <w:p w14:paraId="5632A67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乙方为所属劳务人员提供符合职业卫生管理要求的劳动保护用品和必要的劳动工具,按时保质保量完成协议规定的劳务工作内容，不得影响甲方正常工作的进行，如因此造成甲方经济损失的，应承担相应的赔偿责任。</w:t>
      </w:r>
    </w:p>
    <w:p w14:paraId="114FBD35">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3.乙方必须遵守国家相关法律、法规，对有资质要求的工作岗位须对劳务人员进行培训，持证上岗。</w:t>
      </w:r>
    </w:p>
    <w:p w14:paraId="2F3647B7">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乙方劳务人员须接受相应的操作技术、安全技术、职业卫生等教育培训，乙方委托甲方进行培训时，费用由双方届时商定，并由乙方负责承担。乙方应确保安全作业，如乙方违反上述约定，则由此而产生的责任以及因此给甲方、乙方人员或任何第三方造成的损失由乙方负责赔偿。</w:t>
      </w:r>
    </w:p>
    <w:p w14:paraId="212BEF7D">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5.乙方劳务人员应在规定的工作范围内工作，应爱护和维护保养好甲方生产现场的生产设备及劳动工具，若有非正常损坏，乙方按原购价值1—2倍向甲方进行赔偿。</w:t>
      </w:r>
    </w:p>
    <w:p w14:paraId="157F33BA">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6.乙方各级管理人员应保证联系方式及时有效，应任命能力强、经验丰富的管理者对劳务人员进行管理，指派</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为项目经理，乙方中途更换劳务人员应提前至少15个工作日书面告知甲方（突发换人的情况及时书面告知）并进行相应的安全培训才能上岗，具体工作中与甲方工作上的衔接及办法由</w:t>
      </w:r>
      <w:r>
        <w:rPr>
          <w:rFonts w:hint="eastAsia" w:ascii="宋体" w:hAnsi="宋体" w:eastAsia="宋体" w:cs="宋体"/>
          <w:color w:val="000000"/>
          <w:kern w:val="0"/>
          <w:sz w:val="21"/>
          <w:szCs w:val="21"/>
          <w:u w:val="single"/>
          <w:lang w:eastAsia="zh-CN"/>
        </w:rPr>
        <w:t>二甲醚</w:t>
      </w:r>
      <w:r>
        <w:rPr>
          <w:rFonts w:hint="eastAsia" w:ascii="宋体" w:hAnsi="宋体" w:eastAsia="宋体" w:cs="宋体"/>
          <w:color w:val="000000"/>
          <w:kern w:val="0"/>
          <w:sz w:val="21"/>
          <w:szCs w:val="21"/>
          <w:u w:val="single"/>
        </w:rPr>
        <w:t>厂</w:t>
      </w:r>
      <w:r>
        <w:rPr>
          <w:rFonts w:hint="eastAsia" w:ascii="宋体" w:hAnsi="宋体" w:eastAsia="宋体" w:cs="宋体"/>
          <w:color w:val="000000"/>
          <w:kern w:val="0"/>
          <w:sz w:val="21"/>
          <w:szCs w:val="21"/>
        </w:rPr>
        <w:t>和乙方协商制定。</w:t>
      </w:r>
    </w:p>
    <w:p w14:paraId="7326C43E">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7.如乙方所提供的劳务服务不符合本合同约定或甲方要求，乙方应无条件予以整改、重做，由此而产生的费用由乙方承担。</w:t>
      </w:r>
    </w:p>
    <w:p w14:paraId="4F60E14F">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8.乙方应对本合同以及因履行本合同所知的甲方的商业秘密承担保密义务，未经甲方书面同意，不得透露给任何第三方知晓，亦不得用于非本合同项下的任何用途。上述保密义务不因本合同的解除或终止而免除。</w:t>
      </w:r>
    </w:p>
    <w:p w14:paraId="4BEF25FE">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9.未经甲方书面同意，乙方不得将本合同项下的权利义务部分或全部转让给任何第三方行使。</w:t>
      </w:r>
    </w:p>
    <w:p w14:paraId="4BAE5E7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六、违约责任</w:t>
      </w:r>
    </w:p>
    <w:p w14:paraId="571DAC5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甲、乙双方均应共同遵守国家政策和法律、法规，履行本协议所有条款。在协议履行期间，任何一方如不能履约，须提前30日以书面形式通知对方，经双方协商同意后，方可进行修改、变更、解除、终止。同时，违约方应赔偿守约方因此而遭受的全部损失。同时，在出现违约行为的情况下，乙方无权向甲方主张未履行部分的费用，并应按协议约定的年劳务费总额的10%向甲方支付违约金并赔偿甲方因此而遭受的损失。</w:t>
      </w:r>
    </w:p>
    <w:p w14:paraId="7C9D1AB6">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2.本协议遇到不可抗力或政府政策、甲方生产经营发生变化等原因致使协议无法继续履行，由甲乙双方协商解决，此种情况下，甲方有权单方解除本协议，双方按乙方实际履行合同的情况进行费用的结算。   </w:t>
      </w:r>
    </w:p>
    <w:p w14:paraId="265E9D67">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如乙方未如约提供服务，则每出现一次上述违约行为，乙方按当月劳务费用的5%向甲方支付违约金，协议履行期间，如乙方连续或累计三次出现上述违约行为，甲方有权单方解除本合同、拒付合同费用并追究乙方违约责任，乙方应按协议约定的年劳务费用总额的20%向甲方支付违约金并赔偿甲方因此而遭受的损失。</w:t>
      </w:r>
    </w:p>
    <w:p w14:paraId="78F0C1C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4.因本协议发生争议，由双方友好协商解决，协商解决不成的，可向开远市人民法院诉讼解决。</w:t>
      </w:r>
    </w:p>
    <w:p w14:paraId="12094D0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七、其他事项</w:t>
      </w:r>
    </w:p>
    <w:p w14:paraId="504F728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1.在本协议执行过程中，发生的劳务人员的各种争议，由乙方负责解决并承担由此而产生的费用。</w:t>
      </w:r>
    </w:p>
    <w:p w14:paraId="0B44E1D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2.甲方制定的技术要求乙方人员必须遵守和执行。</w:t>
      </w:r>
    </w:p>
    <w:p w14:paraId="6691378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3.本协议签订完成后，应送甲方安全部备案。乙方应与甲方安全部签订外来工作单位安全协议。履行相关安全职责，发生安全事故，责任由乙方承担。</w:t>
      </w:r>
    </w:p>
    <w:p w14:paraId="4522074C">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4.本协议一式六份，其中甲方四份，乙方两份，经甲乙双方签字盖章后生效，每份具有同等法律效力。</w:t>
      </w:r>
    </w:p>
    <w:p w14:paraId="42348D61">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八、附件</w:t>
      </w:r>
    </w:p>
    <w:p w14:paraId="3E25F0C5">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1.甲、乙双方法定代表人授权委托书。</w:t>
      </w:r>
    </w:p>
    <w:p w14:paraId="7218D21B">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2.二甲醚厂煤气化、变换岗位劳务</w:t>
      </w:r>
      <w:r>
        <w:rPr>
          <w:rFonts w:hint="eastAsia" w:ascii="宋体" w:hAnsi="宋体" w:eastAsia="宋体" w:cs="宋体"/>
          <w:color w:val="000000"/>
          <w:kern w:val="0"/>
          <w:sz w:val="21"/>
          <w:szCs w:val="21"/>
          <w:lang w:eastAsia="zh-CN"/>
        </w:rPr>
        <w:t>人员</w:t>
      </w:r>
      <w:r>
        <w:rPr>
          <w:rFonts w:hint="eastAsia" w:ascii="宋体" w:hAnsi="宋体" w:eastAsia="宋体" w:cs="宋体"/>
          <w:color w:val="000000"/>
          <w:kern w:val="0"/>
          <w:sz w:val="21"/>
          <w:szCs w:val="21"/>
        </w:rPr>
        <w:t>考核办法。</w:t>
      </w:r>
    </w:p>
    <w:p w14:paraId="2203CDEA">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p>
    <w:p w14:paraId="6EAA22C7">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p>
    <w:p w14:paraId="6609D9E6">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甲   方（盖章）：              乙   方（盖章）：</w:t>
      </w:r>
    </w:p>
    <w:p w14:paraId="5C1A3B1F">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法定代表人：                   法定代表人：</w:t>
      </w:r>
    </w:p>
    <w:p w14:paraId="3BADFA3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或委托代理人：                 或委托代理人：</w:t>
      </w:r>
    </w:p>
    <w:p w14:paraId="4B525DC0">
      <w:pPr>
        <w:widowControl/>
        <w:shd w:val="clear" w:color="auto" w:fill="FFFFFF"/>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签订日期：   年   月   日      签订日期：   年   月   日</w:t>
      </w:r>
    </w:p>
    <w:p w14:paraId="6967521C">
      <w:pPr>
        <w:spacing w:line="360" w:lineRule="auto"/>
        <w:rPr>
          <w:rFonts w:hint="eastAsia" w:ascii="宋体" w:hAnsi="宋体" w:eastAsia="宋体" w:cs="宋体"/>
          <w:sz w:val="28"/>
          <w:szCs w:val="28"/>
        </w:rPr>
      </w:pPr>
      <w:r>
        <w:rPr>
          <w:rFonts w:hint="eastAsia" w:ascii="宋体" w:hAnsi="宋体" w:eastAsia="宋体" w:cs="宋体"/>
          <w:sz w:val="28"/>
          <w:szCs w:val="28"/>
        </w:rPr>
        <w:br w:type="page"/>
      </w:r>
    </w:p>
    <w:p w14:paraId="6858FD64">
      <w:pPr>
        <w:tabs>
          <w:tab w:val="left" w:pos="2921"/>
          <w:tab w:val="center" w:pos="5102"/>
        </w:tabs>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附件：</w:t>
      </w:r>
      <w:r>
        <w:rPr>
          <w:rFonts w:hint="eastAsia" w:ascii="宋体" w:hAnsi="宋体" w:eastAsia="宋体" w:cs="宋体"/>
          <w:sz w:val="28"/>
          <w:szCs w:val="28"/>
        </w:rPr>
        <w:t>二甲醚厂劳务用工人员考核办法</w:t>
      </w:r>
    </w:p>
    <w:p w14:paraId="49726CAC">
      <w:pPr>
        <w:pStyle w:val="43"/>
        <w:adjustRightIn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一、目的</w:t>
      </w:r>
    </w:p>
    <w:p w14:paraId="65FEDAE5">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为规范制气车间煤气化</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rPr>
        <w:t>煤气水分离</w:t>
      </w:r>
      <w:r>
        <w:rPr>
          <w:rFonts w:hint="eastAsia" w:ascii="宋体" w:hAnsi="宋体" w:eastAsia="宋体" w:cs="宋体"/>
          <w:sz w:val="21"/>
          <w:szCs w:val="21"/>
        </w:rPr>
        <w:t>岗位劳务用工管理工作，更好的保障劳务工上班期间安全、质量、健康、环保方面的管理，同时使劳务工更好地配合工艺操作人员完成一些生产装置的辅助性工作，更好地发挥劳务工在装置生产中的作用，特制定本规定</w:t>
      </w:r>
      <w:r>
        <w:rPr>
          <w:rFonts w:hint="eastAsia" w:ascii="宋体" w:hAnsi="宋体" w:eastAsia="宋体" w:cs="宋体"/>
          <w:sz w:val="21"/>
          <w:szCs w:val="21"/>
          <w:shd w:val="clear" w:color="auto" w:fill="FFFFFF"/>
        </w:rPr>
        <w:t>。</w:t>
      </w:r>
    </w:p>
    <w:p w14:paraId="4996A80C">
      <w:pPr>
        <w:pStyle w:val="43"/>
        <w:adjustRightIn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二、范围</w:t>
      </w:r>
    </w:p>
    <w:p w14:paraId="2AABFA83">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本规定适用于制气车间煤气化</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rPr>
        <w:t>煤气水分离</w:t>
      </w:r>
      <w:r>
        <w:rPr>
          <w:rFonts w:hint="eastAsia" w:ascii="宋体" w:hAnsi="宋体" w:eastAsia="宋体" w:cs="宋体"/>
          <w:color w:val="000000"/>
          <w:kern w:val="0"/>
          <w:sz w:val="21"/>
          <w:szCs w:val="21"/>
          <w:lang w:eastAsia="zh-CN"/>
        </w:rPr>
        <w:t>岗位</w:t>
      </w:r>
      <w:r>
        <w:rPr>
          <w:rFonts w:hint="eastAsia" w:ascii="宋体" w:hAnsi="宋体" w:eastAsia="宋体" w:cs="宋体"/>
          <w:sz w:val="21"/>
          <w:szCs w:val="21"/>
        </w:rPr>
        <w:t>长期劳务用工。</w:t>
      </w:r>
    </w:p>
    <w:p w14:paraId="473A4CDB">
      <w:pPr>
        <w:pStyle w:val="43"/>
        <w:adjustRightIn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三、具体规定</w:t>
      </w:r>
    </w:p>
    <w:p w14:paraId="5A318FB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1、管理考核：遵守解化化工分公司、二甲醚厂及醇醚车间的相关管理规定，不损坏公司形象，违者按解化化工分公司、二甲醚厂及醇醚车间相关管理规定进行考核处罚。</w:t>
      </w:r>
    </w:p>
    <w:p w14:paraId="0448B38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工作任务考核：根据工作任务内容，按时按质按量完成每日的工作任务。不能认真完成工作任务，或不服从安排者，每次给予考核扣款100元；对工作情节恶劣者翻倍处罚，劳务服务公司应无条件更换劳务人员，并报公司人力资源部登记备案。</w:t>
      </w:r>
    </w:p>
    <w:p w14:paraId="60364A09">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自觉遵守各项劳动纪律，按时上下班，不迟到、不早退、不旷工，不串岗、不干与生产无关的事，如有急事需提前请假。旷工1日扣款一日劳务服务费，旷工半日扣款半日劳务服务费，迟到以警告为主，若长期迟到、早退（按天数*50元扣款）、旷工（按天数*一日劳务服务费给予考核扣款）处罚，超一个月拒不改正者，劳务服务公司应无条件更换劳务人员。</w:t>
      </w:r>
    </w:p>
    <w:p w14:paraId="7BD824D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4、劳保着装考核（强调）：严格按照要求劳保着装，进入现场按要求穿工作服作业（不穿化工纤维衣物等易产生静电衣裤袜）。严禁不戴安全帽、穿拖鞋作业，违者一次给予考核扣款100元。</w:t>
      </w:r>
    </w:p>
    <w:p w14:paraId="1C1119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保持工作岗位卫生洁净，班组监督到位，若因卫生打扫不合格，产生的扣款由临时工承担。当班人员应作卫生打扫、绿化带维护工作的监督管理，临时工不打扫卫生、不维护绿化带，每人每次给予考核扣款50元，两次拒不打理，劳务服务公司应无条件更换劳务人员。          </w:t>
      </w:r>
    </w:p>
    <w:p w14:paraId="3D9A715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、以上各项管理规定班长</w:t>
      </w:r>
      <w:r>
        <w:rPr>
          <w:rFonts w:hint="eastAsia" w:ascii="宋体" w:hAnsi="宋体" w:eastAsia="宋体" w:cs="宋体"/>
          <w:sz w:val="21"/>
          <w:szCs w:val="21"/>
          <w:lang w:eastAsia="zh-CN"/>
        </w:rPr>
        <w:t>、</w:t>
      </w:r>
      <w:r>
        <w:rPr>
          <w:rFonts w:hint="eastAsia" w:ascii="宋体" w:hAnsi="宋体" w:eastAsia="宋体" w:cs="宋体"/>
          <w:sz w:val="21"/>
          <w:szCs w:val="21"/>
        </w:rPr>
        <w:t>临时工负有互相监督管理的职责，一旦发现临时工违反管理规定，有职责要求令其改正，若拒不改正应汇报班长处理或处罚，处罚结果上报工段做好处罚台账，每月奖惩情况进行通报公示，每次产生的扣款一半奖励给检举发现者，剩余的一半月底结算，平均奖励给没有违规的临时工。</w:t>
      </w:r>
    </w:p>
    <w:p w14:paraId="00A10376">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、劳务人员每天上班时间按公司员工《交接班管理制度》执行。</w:t>
      </w:r>
    </w:p>
    <w:p w14:paraId="630A151C">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、制气车间上班的劳务工人到岗和离岗时必须到制气车间操作室在签到表上签字，不按要求进行岗位签到者按未出勤处理。</w:t>
      </w:r>
    </w:p>
    <w:p w14:paraId="613FABB2">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、岗位上劳务工人员出现换人调整、请假等情况发生时，劳务公司应提前一天通知车间管理人员。</w:t>
      </w:r>
    </w:p>
    <w:p w14:paraId="77ADFE22">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、劳务公司及劳务工人，必须遵守国家法律法规及公司、车间安全管理规定，禁止在厂区内做违法违规的事。</w:t>
      </w:r>
    </w:p>
    <w:p w14:paraId="50E26271">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、上班期间，劳务工人作业范围仅限于气化岗位所属区域内，非特殊工作安排情况下，严禁串岗到其它装置。</w:t>
      </w:r>
    </w:p>
    <w:p w14:paraId="5EE904D4">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、上班期间劳务工人须服从当班工艺人员的工作安排并完成当班期间工艺人员安排的相关工作内容。</w:t>
      </w:r>
    </w:p>
    <w:p w14:paraId="736AE05D">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、车间组织的安全培训，劳务公司应积极配合。</w:t>
      </w:r>
    </w:p>
    <w:p w14:paraId="49076B6A">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、不准带情绪工作，不得有意损坏工器具、设备。</w:t>
      </w:r>
    </w:p>
    <w:p w14:paraId="392E8CCD">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、上班前和班中不准饮酒，班前饮酒者，班长拒绝进入厂区。班中饮酒者，由岗位管理人员联系劳务公司带离公司。</w:t>
      </w:r>
    </w:p>
    <w:p w14:paraId="7CE3828A">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、进入厂区后不论在现场、休息室、厕所内不准抽烟。</w:t>
      </w:r>
    </w:p>
    <w:p w14:paraId="070598CE">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四、检查与考核</w:t>
      </w:r>
    </w:p>
    <w:p w14:paraId="795E6870">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1、劳务公司进行换人调整、请假等情况发生时，劳务公司应提前一天通知车间管理人员,未通知的，每次对劳务公司给予考核扣款100元。</w:t>
      </w:r>
    </w:p>
    <w:p w14:paraId="6A9ECCC2">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2、班中未经请假，擅自离开，按未出勤处理，每次给予考核扣款100元/人。</w:t>
      </w:r>
    </w:p>
    <w:p w14:paraId="35D1B61A">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3、班中私自串岗到其它装置，每次给予考核扣款100元/次。</w:t>
      </w:r>
    </w:p>
    <w:p w14:paraId="759463BB">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进入生产区域内，必须按规定佩戴安全帽,在疏通冷却器、废锅过程中必须佩戴防护面罩或护目镜。违者给予考核扣款100元/次。若经安全管理部、生产部等主管部门查获，除主管部门扣款外，车间再给予考核扣款100元/次。</w:t>
      </w:r>
    </w:p>
    <w:p w14:paraId="5289B41A">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5、不服从工艺人员安排者，给予考核扣款200元/次。</w:t>
      </w:r>
    </w:p>
    <w:p w14:paraId="2DBCCC68">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6、在岗位上发生赌博、酗酒、打架、斗殴事件，严禁酒后上班，违者给予考核扣款200元/次，取消上岗资格，情节严重者交由公安机关处理。</w:t>
      </w:r>
    </w:p>
    <w:p w14:paraId="57A46927">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不按公司、车间要求参加相关培训者，补充培训后方能上岗工作，且给予考核扣款100元/次；车间定期组织劳务用工人员进行本岗位理论、实作考试对考试不合格者给予考核扣款100元/次，连续三次考试不合格者调离本岗位。</w:t>
      </w:r>
    </w:p>
    <w:p w14:paraId="1C61BF44">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8、到岗后需到操作室在签到表上签字，不按要求进行岗位签到者，按旷工处理，给予考核扣款100元。</w:t>
      </w:r>
    </w:p>
    <w:p w14:paraId="66AA9BA7">
      <w:pPr>
        <w:tabs>
          <w:tab w:val="left" w:pos="502"/>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9、在现场、休息室抽烟者，</w:t>
      </w:r>
      <w:r>
        <w:rPr>
          <w:rFonts w:hint="eastAsia" w:ascii="宋体" w:hAnsi="宋体" w:eastAsia="宋体" w:cs="宋体"/>
          <w:sz w:val="21"/>
          <w:szCs w:val="21"/>
          <w:lang w:eastAsia="zh-CN"/>
        </w:rPr>
        <w:t>按甲方相关管理制度执行扣款。</w:t>
      </w:r>
    </w:p>
    <w:p w14:paraId="2EB7B05B">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给予考核扣款200元/次。发现烟头，给予考核扣款100元/个。</w:t>
      </w:r>
    </w:p>
    <w:p w14:paraId="647DDE29">
      <w:pPr>
        <w:tabs>
          <w:tab w:val="left" w:pos="5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10、带情绪工作，有意损坏工具、设备的，给予考核扣款300元/次，损坏物件照价赔偿。</w:t>
      </w:r>
    </w:p>
    <w:p w14:paraId="5522A208">
      <w:pPr>
        <w:widowControl/>
        <w:shd w:val="clear" w:color="auto" w:fill="FFFFFF"/>
        <w:spacing w:before="100" w:beforeAutospacing="1" w:after="100" w:afterAutospacing="1"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本办法项下的所有考核扣款，云南解化清洁能源开发有限公司解化化工分公司均有权从应付劳务服务费中予以扣除，并同时有权追究劳务承包单位的违约责任。</w:t>
      </w:r>
    </w:p>
    <w:p w14:paraId="07E16CE5">
      <w:pPr>
        <w:widowControl/>
        <w:shd w:val="clear" w:color="auto" w:fill="FFFFFF"/>
        <w:spacing w:line="360" w:lineRule="auto"/>
        <w:jc w:val="left"/>
        <w:rPr>
          <w:rFonts w:hint="eastAsia" w:ascii="宋体" w:hAnsi="宋体" w:eastAsia="宋体" w:cs="宋体"/>
          <w:color w:val="000000"/>
          <w:kern w:val="0"/>
          <w:sz w:val="21"/>
          <w:szCs w:val="21"/>
        </w:rPr>
      </w:pPr>
    </w:p>
    <w:p w14:paraId="37E80903">
      <w:pPr>
        <w:spacing w:line="360" w:lineRule="auto"/>
        <w:jc w:val="left"/>
        <w:rPr>
          <w:rFonts w:hint="eastAsia" w:ascii="宋体" w:hAnsi="宋体" w:eastAsia="宋体" w:cs="宋体"/>
          <w:color w:val="000000"/>
          <w:sz w:val="21"/>
          <w:szCs w:val="21"/>
        </w:rPr>
      </w:pPr>
    </w:p>
    <w:p w14:paraId="2031416C">
      <w:pPr>
        <w:spacing w:line="360" w:lineRule="auto"/>
        <w:rPr>
          <w:rFonts w:hint="eastAsia" w:ascii="宋体" w:hAnsi="宋体" w:eastAsia="宋体" w:cs="宋体"/>
          <w:color w:val="000000"/>
          <w:sz w:val="21"/>
          <w:szCs w:val="21"/>
        </w:rPr>
      </w:pPr>
    </w:p>
    <w:p w14:paraId="7DD3CB52">
      <w:pPr>
        <w:spacing w:line="360" w:lineRule="auto"/>
        <w:rPr>
          <w:rFonts w:hint="eastAsia" w:ascii="宋体" w:hAnsi="宋体" w:eastAsia="宋体" w:cs="宋体"/>
          <w:sz w:val="21"/>
          <w:szCs w:val="21"/>
        </w:rPr>
      </w:pPr>
    </w:p>
    <w:p w14:paraId="276E3BF8">
      <w:pPr>
        <w:spacing w:line="360" w:lineRule="auto"/>
        <w:rPr>
          <w:rFonts w:hint="eastAsia" w:ascii="宋体" w:hAnsi="宋体" w:eastAsia="宋体" w:cs="宋体"/>
          <w:color w:val="000000"/>
          <w:sz w:val="21"/>
          <w:szCs w:val="21"/>
        </w:rPr>
      </w:pPr>
    </w:p>
    <w:p w14:paraId="0EA70224">
      <w:pPr>
        <w:spacing w:line="360" w:lineRule="auto"/>
        <w:jc w:val="left"/>
        <w:rPr>
          <w:rFonts w:hint="eastAsia" w:ascii="宋体" w:hAnsi="宋体" w:eastAsia="宋体" w:cs="宋体"/>
          <w:sz w:val="21"/>
          <w:szCs w:val="21"/>
        </w:rPr>
      </w:pPr>
    </w:p>
    <w:p w14:paraId="0E596B36">
      <w:pPr>
        <w:spacing w:line="360" w:lineRule="auto"/>
        <w:jc w:val="left"/>
        <w:rPr>
          <w:rFonts w:hint="eastAsia" w:ascii="宋体" w:hAnsi="宋体" w:cs="宋体"/>
          <w:sz w:val="21"/>
          <w:szCs w:val="21"/>
        </w:rPr>
      </w:pPr>
    </w:p>
    <w:p w14:paraId="1E33029B">
      <w:pPr>
        <w:spacing w:line="360" w:lineRule="auto"/>
        <w:rPr>
          <w:sz w:val="21"/>
          <w:szCs w:val="21"/>
        </w:rPr>
      </w:pPr>
    </w:p>
    <w:p w14:paraId="2DE31B8D">
      <w:pPr>
        <w:keepNext w:val="0"/>
        <w:keepLines w:val="0"/>
        <w:pageBreakBefore w:val="0"/>
        <w:widowControl/>
        <w:kinsoku/>
        <w:wordWrap/>
        <w:overflowPunct/>
        <w:topLinePunct w:val="0"/>
        <w:bidi w:val="0"/>
        <w:spacing w:line="360" w:lineRule="auto"/>
        <w:ind w:right="420" w:rightChars="200"/>
        <w:textAlignment w:val="auto"/>
        <w:rPr>
          <w:rFonts w:hint="eastAsia" w:ascii="宋体" w:hAnsi="宋体" w:eastAsia="宋体" w:cs="宋体"/>
          <w:bCs/>
          <w:color w:val="auto"/>
          <w:kern w:val="2"/>
          <w:sz w:val="21"/>
          <w:szCs w:val="21"/>
          <w:highlight w:val="none"/>
        </w:rPr>
        <w:sectPr>
          <w:headerReference r:id="rId11" w:type="default"/>
          <w:footerReference r:id="rId12" w:type="default"/>
          <w:pgSz w:w="11905" w:h="16838"/>
          <w:pgMar w:top="1417" w:right="1701" w:bottom="1417" w:left="1701" w:header="850" w:footer="992" w:gutter="0"/>
          <w:pgBorders>
            <w:top w:val="none" w:sz="0" w:space="0"/>
            <w:left w:val="none" w:sz="0" w:space="0"/>
            <w:bottom w:val="none" w:sz="0" w:space="0"/>
            <w:right w:val="none" w:sz="0" w:space="0"/>
          </w:pgBorders>
          <w:pgNumType w:fmt="decimal" w:start="1"/>
          <w:cols w:space="720" w:num="1"/>
          <w:docGrid w:type="lines" w:linePitch="314" w:charSpace="0"/>
        </w:sectPr>
      </w:pPr>
    </w:p>
    <w:p w14:paraId="61E8EE54">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  政  合  同</w:t>
      </w:r>
    </w:p>
    <w:p w14:paraId="60C0A59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甲方：云南解化清洁能源开发有限公司解化化工分公司</w:t>
      </w:r>
    </w:p>
    <w:p w14:paraId="20D2E7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乙方： </w:t>
      </w:r>
    </w:p>
    <w:p w14:paraId="484A9D2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为促进甲乙双方廉洁高效合作，规范双方的各项经济行为，促使双方工作人员廉洁从业，按照《中华人民共和国民法典》、《中华人民共和国反不正当竞争法》、《关于禁止商业贿赂行为的暂行规定》和国家其他有关法律法规、廉政规定，经甲乙双方协商一致，自愿签订以下廉政合同。</w:t>
      </w:r>
    </w:p>
    <w:p w14:paraId="687677F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第一条  甲乙双方的责任</w:t>
      </w:r>
    </w:p>
    <w:p w14:paraId="1381455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 xml:space="preserve"> 严格遵守国家经济活动的法律法规、相关政策以及廉政建设的各项规定。</w:t>
      </w:r>
    </w:p>
    <w:p w14:paraId="6A3A9AC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严格执行经济合同内容，自觉按合同约定办事。</w:t>
      </w:r>
    </w:p>
    <w:p w14:paraId="309790D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业务活动必须坚持公开、公平、公正、诚信、透明的原则(除法律法规、双方认定的商业秘密和合同文件另有规定外)，不得为获取不正当利益，损害国家、集体和对方利益，不得违反经济业务管理等规章制度。</w:t>
      </w:r>
    </w:p>
    <w:p w14:paraId="68F1E1B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建立健全廉政制度，开展廉政教育，设立廉政告示牌，公布举报电话，监督并认真查处违法违纪行为。</w:t>
      </w:r>
    </w:p>
    <w:p w14:paraId="40002A6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发现对方在业务活动中有违规、违纪、违法的行为，及时提醒对方，情节严重的，向其上级主管部门、纪检监察部门或司法机关举报。</w:t>
      </w:r>
    </w:p>
    <w:p w14:paraId="0762F55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第二条  甲方的责任</w:t>
      </w:r>
    </w:p>
    <w:p w14:paraId="0D6444DD">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甲方的领导和涉及该合同的工作人员，在经济合同执行的事前、事中、事后应遵守以下规定：</w:t>
      </w:r>
    </w:p>
    <w:p w14:paraId="2BCC9BA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不准向乙方和相关单位索要或接受回扣、礼金、有价证券、贵重物品和好处费、感谢费等。</w:t>
      </w:r>
    </w:p>
    <w:p w14:paraId="0EC8FDA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不准向乙方和相关单位报销任何由甲方或个人支付的费用。</w:t>
      </w:r>
    </w:p>
    <w:p w14:paraId="4930ECD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不得参加乙方和相关单位安排的超标准宴请和娱乐活动；不得接受乙方和相关单位提供的通讯工具、交通工具和高档办公用品等。</w:t>
      </w:r>
    </w:p>
    <w:p w14:paraId="2A35A21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不准向乙方和相关单位要求或接受住房装修、婚丧嫁娶、配偶子女的工作安排以及出国出境、旅游等提供方便。</w:t>
      </w:r>
    </w:p>
    <w:p w14:paraId="415362D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不准向乙方介绍配偶、子女、亲属参与同甲方经济合同有关的各项经济活动。不得以任何理由向乙方推荐和购买物品等。</w:t>
      </w:r>
    </w:p>
    <w:p w14:paraId="5DCBFB2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第三条  乙方的责任</w:t>
      </w:r>
    </w:p>
    <w:p w14:paraId="158F731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应与甲方保持正常的业务交往，按照有关法律法规和程序开展工作，严格执行经济合同涉及的有关政策和规范，并遵守以下规定：</w:t>
      </w:r>
    </w:p>
    <w:p w14:paraId="3C45047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不准以任何理由向甲方及其工作人员索要、接受或馈赠礼金、有价证券、贵重礼品和回扣，好处费、感谢费等。</w:t>
      </w:r>
    </w:p>
    <w:p w14:paraId="5AA27B7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不准以任何名义向甲方及相关单位报销应由乙方或个人支付的费用。</w:t>
      </w:r>
    </w:p>
    <w:p w14:paraId="0B42254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不准接受或暗示为甲方、相关单位或个人装修住房、婚丧嫁娶、配偶子女的工作安排以及出国出境、旅游等提供方便。</w:t>
      </w:r>
    </w:p>
    <w:p w14:paraId="31D099C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不得以任何理由为甲方、相关单位或个人安排参加超标准宴请及娱乐活动。</w:t>
      </w:r>
    </w:p>
    <w:p w14:paraId="1BA7993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不得以任何理由为甲方、相关单位或个人购置或提供通讯工具、交通工具和高档办公用品等。</w:t>
      </w:r>
    </w:p>
    <w:p w14:paraId="57E2730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第四条  违约责任</w:t>
      </w:r>
    </w:p>
    <w:p w14:paraId="6A3FAB9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甲方及其工作人员违反本合同第一、二条，按管理权限，依据有关法律法规规定给予党纪、政纪或组织处理；涉嫌犯罪的，移交司法机关追究刑事责任；给乙方造成经济损失的，甲方应依法依规予以赔偿。</w:t>
      </w:r>
    </w:p>
    <w:p w14:paraId="548F263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乙方及其工作人员违反本合同第一、三条，按管理权限，依据有关法律法规规定给予党纪、政纪或组织处理；涉嫌犯罪的，移交司法机关追究刑事责任；给甲方造成经济损失的，乙方应依法依规给予以赔偿，甲方有权终止履行合同。</w:t>
      </w:r>
    </w:p>
    <w:p w14:paraId="5AD3EE6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第五条  必要时甲方纪检机构约请乙方或乙方纪检机构对本合同履行情况进行监督检查，提出在本合同规定范围内的裁定意见。</w:t>
      </w:r>
    </w:p>
    <w:p w14:paraId="0997C02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第六条  本合同与经济合同同时签订，与经济合同具有同等法律效力，经双方签署后生效。</w:t>
      </w:r>
    </w:p>
    <w:p w14:paraId="0BF9FA2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第七条  本合同在双方合作期间有效，如双方所签订的相关经济业务合作协议或合同解除或终止，且双方不再开展新的业务合作的，本合同同时解除或终止。</w:t>
      </w:r>
    </w:p>
    <w:p w14:paraId="626EF873">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第八条  本合同正本贰份，甲方、乙方各执壹份，副本贰份，甲方、乙方各壹份。</w:t>
      </w:r>
    </w:p>
    <w:p w14:paraId="3685AE46">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p>
    <w:p w14:paraId="10C71186">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甲方：云南解化清洁能源开发有限公司        乙方：                           </w:t>
      </w:r>
    </w:p>
    <w:p w14:paraId="19747C7C">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解化化工分公司       </w:t>
      </w:r>
    </w:p>
    <w:p w14:paraId="411124DC">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法定代表人：(章)                        法定代表人：(章)</w:t>
      </w:r>
    </w:p>
    <w:p w14:paraId="16EE70E7">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授权委托人：（签字）           </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 xml:space="preserve">       </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 xml:space="preserve">授权委托人：（签字）     </w:t>
      </w:r>
    </w:p>
    <w:p w14:paraId="50C2B7F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p>
    <w:p w14:paraId="66E8A6ED">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  年   月   日                              年   月   日</w:t>
      </w:r>
    </w:p>
    <w:p w14:paraId="2A7C2D5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auto"/>
          <w:kern w:val="2"/>
          <w:sz w:val="21"/>
          <w:szCs w:val="21"/>
          <w:highlight w:val="none"/>
        </w:rPr>
      </w:pPr>
    </w:p>
    <w:p w14:paraId="1635CC2F">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甲方监督单位：（盖章）                </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 xml:space="preserve"> 乙方监督单位：（盖章）</w:t>
      </w:r>
    </w:p>
    <w:p w14:paraId="57360B19">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1"/>
          <w:szCs w:val="21"/>
          <w:highlight w:val="none"/>
        </w:rPr>
        <w:br w:type="page"/>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Start w:id="295" w:name="_Toc1238"/>
      <w:bookmarkStart w:id="296" w:name="_Toc420917861"/>
      <w:bookmarkStart w:id="297" w:name="_Toc19503"/>
      <w:bookmarkStart w:id="298" w:name="_Toc528155174"/>
      <w:bookmarkStart w:id="299" w:name="_Toc26969"/>
      <w:bookmarkStart w:id="300" w:name="_Toc525041869"/>
      <w:bookmarkStart w:id="301" w:name="_Toc528155321"/>
      <w:r>
        <w:rPr>
          <w:rFonts w:hint="eastAsia" w:ascii="宋体" w:hAnsi="宋体" w:cs="宋体"/>
          <w:b/>
          <w:bCs/>
          <w:color w:val="auto"/>
          <w:sz w:val="48"/>
          <w:szCs w:val="48"/>
          <w:highlight w:val="none"/>
          <w:lang w:eastAsia="zh-CN"/>
        </w:rPr>
        <w:t>云南解化清洁能源开发有限公司解化化工分公司2026-2027年二甲醚厂煤气化辅助岗位等劳务外包项目</w:t>
      </w:r>
    </w:p>
    <w:p w14:paraId="3F8F5416">
      <w:pPr>
        <w:spacing w:line="360" w:lineRule="auto"/>
        <w:jc w:val="center"/>
        <w:rPr>
          <w:rFonts w:hint="eastAsia" w:ascii="宋体" w:hAnsi="宋体" w:cs="宋体"/>
          <w:color w:val="auto"/>
          <w:sz w:val="24"/>
          <w:highlight w:val="none"/>
        </w:rPr>
      </w:pPr>
    </w:p>
    <w:p w14:paraId="59B3E922">
      <w:pPr>
        <w:spacing w:line="360" w:lineRule="auto"/>
        <w:jc w:val="center"/>
        <w:rPr>
          <w:rFonts w:hint="eastAsia" w:ascii="宋体" w:hAnsi="宋体" w:cs="宋体"/>
          <w:color w:val="auto"/>
          <w:sz w:val="24"/>
          <w:highlight w:val="none"/>
        </w:rPr>
      </w:pPr>
    </w:p>
    <w:p w14:paraId="341F4B10">
      <w:pPr>
        <w:spacing w:line="360" w:lineRule="auto"/>
        <w:jc w:val="center"/>
        <w:rPr>
          <w:rFonts w:hint="eastAsia" w:ascii="宋体" w:hAnsi="宋体" w:cs="宋体"/>
          <w:color w:val="auto"/>
          <w:sz w:val="24"/>
          <w:highlight w:val="none"/>
        </w:rPr>
      </w:pPr>
    </w:p>
    <w:p w14:paraId="53316945">
      <w:pPr>
        <w:pStyle w:val="24"/>
        <w:spacing w:line="360" w:lineRule="auto"/>
        <w:jc w:val="center"/>
        <w:rPr>
          <w:rFonts w:hint="eastAsia" w:hAnsi="宋体" w:cs="宋体"/>
          <w:b/>
          <w:color w:val="auto"/>
          <w:sz w:val="52"/>
          <w:szCs w:val="52"/>
          <w:highlight w:val="none"/>
        </w:rPr>
      </w:pPr>
      <w:r>
        <w:rPr>
          <w:rFonts w:hint="eastAsia" w:hAnsi="宋体" w:cs="宋体"/>
          <w:b/>
          <w:color w:val="auto"/>
          <w:sz w:val="52"/>
          <w:szCs w:val="52"/>
          <w:highlight w:val="none"/>
        </w:rPr>
        <w:t>响应文件</w:t>
      </w:r>
    </w:p>
    <w:p w14:paraId="6004ACDE">
      <w:pPr>
        <w:spacing w:line="360" w:lineRule="auto"/>
        <w:jc w:val="center"/>
        <w:rPr>
          <w:rFonts w:hint="eastAsia" w:ascii="宋体" w:hAnsi="宋体" w:cs="宋体"/>
          <w:color w:val="auto"/>
          <w:sz w:val="24"/>
          <w:highlight w:val="none"/>
        </w:rPr>
      </w:pPr>
    </w:p>
    <w:p w14:paraId="6E9BD3AB">
      <w:pPr>
        <w:spacing w:line="360" w:lineRule="auto"/>
        <w:jc w:val="center"/>
        <w:rPr>
          <w:rFonts w:hint="eastAsia" w:ascii="宋体" w:hAnsi="宋体" w:cs="宋体"/>
          <w:color w:val="auto"/>
          <w:sz w:val="24"/>
          <w:highlight w:val="none"/>
        </w:rPr>
      </w:pPr>
    </w:p>
    <w:p w14:paraId="4724DE0C">
      <w:pPr>
        <w:pStyle w:val="24"/>
        <w:spacing w:line="360" w:lineRule="auto"/>
        <w:ind w:firstLine="2642" w:firstLineChars="940"/>
        <w:rPr>
          <w:rFonts w:hint="eastAsia" w:hAnsi="宋体" w:cs="宋体"/>
          <w:b/>
          <w:color w:val="auto"/>
          <w:sz w:val="28"/>
          <w:szCs w:val="28"/>
          <w:highlight w:val="none"/>
          <w:u w:val="single"/>
        </w:rPr>
      </w:pPr>
      <w:r>
        <w:rPr>
          <w:rFonts w:hint="eastAsia" w:hAnsi="宋体" w:cs="宋体"/>
          <w:b/>
          <w:color w:val="auto"/>
          <w:sz w:val="28"/>
          <w:szCs w:val="28"/>
          <w:highlight w:val="none"/>
        </w:rPr>
        <w:t>项目编号：</w:t>
      </w:r>
      <w:r>
        <w:rPr>
          <w:rFonts w:hint="eastAsia" w:hAnsi="宋体" w:cs="宋体"/>
          <w:color w:val="auto"/>
          <w:sz w:val="21"/>
          <w:szCs w:val="21"/>
          <w:highlight w:val="none"/>
          <w:u w:val="single"/>
        </w:rPr>
        <w:t>　　　　　　　　　　　　　</w:t>
      </w:r>
    </w:p>
    <w:p w14:paraId="35637E96">
      <w:pPr>
        <w:pStyle w:val="24"/>
        <w:spacing w:line="360" w:lineRule="auto"/>
        <w:ind w:firstLine="3058" w:firstLineChars="1088"/>
        <w:rPr>
          <w:rFonts w:hint="eastAsia" w:hAnsi="宋体" w:cs="宋体"/>
          <w:b/>
          <w:color w:val="auto"/>
          <w:sz w:val="28"/>
          <w:szCs w:val="28"/>
          <w:highlight w:val="none"/>
          <w:u w:val="single"/>
        </w:rPr>
      </w:pPr>
    </w:p>
    <w:p w14:paraId="6FC778D3">
      <w:pPr>
        <w:spacing w:line="360" w:lineRule="auto"/>
        <w:jc w:val="center"/>
        <w:rPr>
          <w:rFonts w:hint="eastAsia" w:ascii="宋体" w:hAnsi="宋体" w:cs="宋体"/>
          <w:color w:val="auto"/>
          <w:sz w:val="24"/>
          <w:highlight w:val="none"/>
        </w:rPr>
      </w:pPr>
    </w:p>
    <w:p w14:paraId="285F7253">
      <w:pPr>
        <w:spacing w:line="360" w:lineRule="auto"/>
        <w:jc w:val="both"/>
        <w:rPr>
          <w:rFonts w:hint="eastAsia" w:ascii="宋体" w:hAnsi="宋体" w:cs="宋体"/>
          <w:color w:val="auto"/>
          <w:sz w:val="24"/>
          <w:highlight w:val="none"/>
        </w:rPr>
      </w:pPr>
    </w:p>
    <w:p w14:paraId="2BA59DAE">
      <w:pPr>
        <w:spacing w:line="360" w:lineRule="auto"/>
        <w:jc w:val="center"/>
        <w:rPr>
          <w:rFonts w:hint="eastAsia" w:ascii="宋体" w:hAnsi="宋体" w:cs="宋体"/>
          <w:color w:val="auto"/>
          <w:sz w:val="24"/>
          <w:highlight w:val="none"/>
        </w:rPr>
      </w:pPr>
    </w:p>
    <w:p w14:paraId="497D746D">
      <w:pPr>
        <w:spacing w:line="360" w:lineRule="auto"/>
        <w:rPr>
          <w:rFonts w:hint="eastAsia" w:ascii="宋体" w:hAnsi="宋体" w:cs="宋体"/>
          <w:color w:val="auto"/>
          <w:sz w:val="24"/>
          <w:highlight w:val="none"/>
        </w:rPr>
      </w:pPr>
    </w:p>
    <w:p w14:paraId="4997C4FE">
      <w:pPr>
        <w:spacing w:line="360" w:lineRule="auto"/>
        <w:ind w:firstLine="1980" w:firstLineChars="825"/>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2DF03D59">
      <w:pPr>
        <w:spacing w:line="360" w:lineRule="auto"/>
        <w:ind w:firstLine="1980" w:firstLineChars="825"/>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（签字或签章）</w:t>
      </w:r>
    </w:p>
    <w:p w14:paraId="686F4299">
      <w:pPr>
        <w:spacing w:line="360" w:lineRule="auto"/>
        <w:ind w:firstLine="3180" w:firstLineChars="1325"/>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br w:type="page"/>
      </w:r>
    </w:p>
    <w:p w14:paraId="5A5C80C7">
      <w:pPr>
        <w:pStyle w:val="3"/>
        <w:spacing w:before="0" w:line="360" w:lineRule="auto"/>
        <w:rPr>
          <w:rFonts w:hint="eastAsia" w:ascii="宋体" w:hAnsi="宋体" w:cs="宋体"/>
          <w:color w:val="auto"/>
          <w:szCs w:val="21"/>
          <w:highlight w:val="none"/>
        </w:rPr>
      </w:pPr>
      <w:bookmarkStart w:id="302" w:name="_Toc2817"/>
      <w:bookmarkStart w:id="303" w:name="_Toc23452"/>
      <w:bookmarkStart w:id="304" w:name="_Toc28033"/>
      <w:bookmarkStart w:id="305" w:name="_Toc3625"/>
      <w:bookmarkStart w:id="306" w:name="_Toc21563"/>
      <w:bookmarkStart w:id="307" w:name="_Toc32181"/>
      <w:bookmarkStart w:id="308" w:name="_Toc108"/>
      <w:bookmarkStart w:id="309" w:name="_Toc4991"/>
      <w:bookmarkStart w:id="310" w:name="_Toc9338"/>
      <w:bookmarkStart w:id="311" w:name="_Toc7630"/>
      <w:bookmarkStart w:id="312" w:name="_Toc24084"/>
      <w:bookmarkStart w:id="313" w:name="_Toc79"/>
      <w:bookmarkStart w:id="314" w:name="_Toc16901"/>
      <w:bookmarkStart w:id="315" w:name="_Toc11746"/>
      <w:bookmarkStart w:id="316" w:name="_Toc14347"/>
      <w:r>
        <w:rPr>
          <w:rFonts w:hint="eastAsia" w:ascii="宋体" w:hAnsi="宋体" w:cs="宋体"/>
          <w:color w:val="auto"/>
          <w:szCs w:val="21"/>
          <w:highlight w:val="none"/>
        </w:rPr>
        <w:t>一、报价部分</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6B84B28">
      <w:pPr>
        <w:pStyle w:val="4"/>
        <w:spacing w:line="360" w:lineRule="auto"/>
        <w:ind w:left="5" w:hanging="5" w:firstLineChars="0"/>
        <w:rPr>
          <w:rFonts w:hint="eastAsia" w:hAnsi="宋体" w:cs="宋体"/>
          <w:color w:val="auto"/>
          <w:szCs w:val="24"/>
          <w:highlight w:val="none"/>
        </w:rPr>
      </w:pPr>
      <w:bookmarkStart w:id="317" w:name="_Toc28023"/>
      <w:bookmarkStart w:id="318" w:name="_Toc24407"/>
      <w:bookmarkStart w:id="319" w:name="_Toc807"/>
      <w:bookmarkStart w:id="320" w:name="_Toc29128"/>
      <w:bookmarkStart w:id="321" w:name="_Toc5273"/>
      <w:bookmarkStart w:id="322" w:name="_Toc51938072"/>
      <w:bookmarkStart w:id="323" w:name="_Toc16152"/>
      <w:bookmarkStart w:id="324" w:name="_Toc29169"/>
      <w:bookmarkStart w:id="325" w:name="_Toc5251"/>
      <w:bookmarkStart w:id="326" w:name="_Toc14714"/>
      <w:bookmarkStart w:id="327" w:name="_Toc19422"/>
      <w:r>
        <w:rPr>
          <w:rFonts w:hint="eastAsia" w:hAnsi="宋体" w:cs="宋体"/>
          <w:color w:val="auto"/>
          <w:szCs w:val="24"/>
          <w:highlight w:val="none"/>
        </w:rPr>
        <w:t>（一）谈判报价一览表</w:t>
      </w:r>
      <w:bookmarkEnd w:id="317"/>
      <w:bookmarkEnd w:id="318"/>
      <w:bookmarkEnd w:id="319"/>
      <w:bookmarkEnd w:id="320"/>
      <w:bookmarkEnd w:id="321"/>
      <w:bookmarkEnd w:id="322"/>
      <w:bookmarkEnd w:id="323"/>
      <w:bookmarkEnd w:id="324"/>
      <w:bookmarkEnd w:id="325"/>
      <w:bookmarkEnd w:id="326"/>
      <w:bookmarkEnd w:id="327"/>
    </w:p>
    <w:p w14:paraId="414CFBEC">
      <w:pPr>
        <w:spacing w:line="360" w:lineRule="auto"/>
        <w:rPr>
          <w:rFonts w:hint="eastAsia" w:ascii="宋体" w:hAnsi="宋体" w:cs="宋体"/>
          <w:color w:val="auto"/>
          <w:highlight w:val="none"/>
        </w:rPr>
      </w:pPr>
    </w:p>
    <w:p w14:paraId="2EAF6C7F">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w:t>
      </w:r>
    </w:p>
    <w:p w14:paraId="6825A583">
      <w:pPr>
        <w:adjustRightInd w:val="0"/>
        <w:snapToGrid w:val="0"/>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w:t>
      </w:r>
    </w:p>
    <w:tbl>
      <w:tblPr>
        <w:tblStyle w:val="4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7948"/>
      </w:tblGrid>
      <w:tr w14:paraId="29AC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14" w:type="dxa"/>
            <w:noWrap w:val="0"/>
            <w:vAlign w:val="center"/>
          </w:tcPr>
          <w:p w14:paraId="55DFF468">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供应商名称</w:t>
            </w:r>
          </w:p>
        </w:tc>
        <w:tc>
          <w:tcPr>
            <w:tcW w:w="7948" w:type="dxa"/>
            <w:noWrap w:val="0"/>
            <w:vAlign w:val="center"/>
          </w:tcPr>
          <w:p w14:paraId="3EE85F08">
            <w:pPr>
              <w:adjustRightInd w:val="0"/>
              <w:snapToGrid w:val="0"/>
              <w:spacing w:line="360" w:lineRule="auto"/>
              <w:jc w:val="left"/>
              <w:rPr>
                <w:rFonts w:hint="eastAsia" w:ascii="宋体" w:hAnsi="宋体" w:cs="宋体"/>
                <w:color w:val="auto"/>
                <w:highlight w:val="none"/>
              </w:rPr>
            </w:pPr>
          </w:p>
        </w:tc>
      </w:tr>
      <w:tr w14:paraId="4B33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14" w:type="dxa"/>
            <w:noWrap w:val="0"/>
            <w:vAlign w:val="center"/>
          </w:tcPr>
          <w:p w14:paraId="0D821DFF">
            <w:pPr>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总价包干劳务费用</w:t>
            </w:r>
          </w:p>
        </w:tc>
        <w:tc>
          <w:tcPr>
            <w:tcW w:w="7948" w:type="dxa"/>
            <w:noWrap w:val="0"/>
            <w:vAlign w:val="center"/>
          </w:tcPr>
          <w:p w14:paraId="2BBB92F2">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元</w:t>
            </w:r>
            <w:r>
              <w:rPr>
                <w:rFonts w:hint="eastAsia" w:ascii="宋体" w:hAnsi="宋体" w:cs="宋体"/>
                <w:color w:val="auto"/>
                <w:highlight w:val="none"/>
                <w:lang w:val="en-US" w:eastAsia="zh-CN"/>
              </w:rPr>
              <w:t>/月</w:t>
            </w:r>
            <w:r>
              <w:rPr>
                <w:rFonts w:hint="eastAsia" w:ascii="宋体" w:hAnsi="宋体" w:cs="宋体"/>
                <w:color w:val="auto"/>
                <w:highlight w:val="none"/>
              </w:rPr>
              <w:t>；</w:t>
            </w:r>
          </w:p>
        </w:tc>
      </w:tr>
      <w:tr w14:paraId="71FD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14" w:type="dxa"/>
            <w:noWrap w:val="0"/>
            <w:vAlign w:val="center"/>
          </w:tcPr>
          <w:p w14:paraId="5AE4BC04">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谈判</w:t>
            </w:r>
            <w:r>
              <w:rPr>
                <w:rFonts w:hint="eastAsia" w:ascii="宋体" w:hAnsi="宋体" w:cs="宋体"/>
                <w:color w:val="auto"/>
                <w:highlight w:val="none"/>
                <w:lang w:val="en-US" w:eastAsia="zh-CN"/>
              </w:rPr>
              <w:t>总</w:t>
            </w:r>
            <w:r>
              <w:rPr>
                <w:rFonts w:hint="eastAsia" w:ascii="宋体" w:hAnsi="宋体" w:cs="宋体"/>
                <w:color w:val="auto"/>
                <w:highlight w:val="none"/>
              </w:rPr>
              <w:t>报价</w:t>
            </w:r>
          </w:p>
        </w:tc>
        <w:tc>
          <w:tcPr>
            <w:tcW w:w="7948" w:type="dxa"/>
            <w:noWrap w:val="0"/>
            <w:vAlign w:val="center"/>
          </w:tcPr>
          <w:p w14:paraId="693AAF41">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元</w:t>
            </w:r>
          </w:p>
        </w:tc>
      </w:tr>
      <w:tr w14:paraId="050E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47B3555A">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服务周期</w:t>
            </w:r>
          </w:p>
        </w:tc>
        <w:tc>
          <w:tcPr>
            <w:tcW w:w="7948" w:type="dxa"/>
            <w:noWrap w:val="0"/>
            <w:vAlign w:val="center"/>
          </w:tcPr>
          <w:p w14:paraId="1DFC95E0">
            <w:pPr>
              <w:adjustRightInd w:val="0"/>
              <w:snapToGrid w:val="0"/>
              <w:spacing w:line="360" w:lineRule="auto"/>
              <w:jc w:val="left"/>
              <w:rPr>
                <w:rFonts w:hint="eastAsia" w:ascii="宋体" w:hAnsi="宋体" w:cs="宋体"/>
                <w:color w:val="auto"/>
                <w:highlight w:val="none"/>
              </w:rPr>
            </w:pPr>
          </w:p>
        </w:tc>
      </w:tr>
      <w:tr w14:paraId="3B2B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695CAA20">
            <w:pPr>
              <w:adjustRightInd w:val="0"/>
              <w:snapToGrid w:val="0"/>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服务地点</w:t>
            </w:r>
          </w:p>
        </w:tc>
        <w:tc>
          <w:tcPr>
            <w:tcW w:w="7948" w:type="dxa"/>
            <w:noWrap w:val="0"/>
            <w:vAlign w:val="center"/>
          </w:tcPr>
          <w:p w14:paraId="7AA5F216">
            <w:pPr>
              <w:adjustRightInd w:val="0"/>
              <w:snapToGrid w:val="0"/>
              <w:spacing w:line="360" w:lineRule="auto"/>
              <w:ind w:left="0" w:leftChars="0" w:right="0" w:rightChars="0" w:firstLine="0" w:firstLineChars="0"/>
              <w:jc w:val="center"/>
              <w:rPr>
                <w:rFonts w:hint="default" w:ascii="宋体" w:hAnsi="宋体" w:eastAsia="宋体" w:cs="宋体"/>
                <w:color w:val="auto"/>
                <w:highlight w:val="none"/>
                <w:lang w:val="en-US" w:eastAsia="zh-CN"/>
              </w:rPr>
            </w:pPr>
          </w:p>
        </w:tc>
      </w:tr>
      <w:tr w14:paraId="346E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0BD5563E">
            <w:pPr>
              <w:adjustRightInd w:val="0"/>
              <w:snapToGrid w:val="0"/>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质量要求及标准</w:t>
            </w:r>
          </w:p>
        </w:tc>
        <w:tc>
          <w:tcPr>
            <w:tcW w:w="7948" w:type="dxa"/>
            <w:noWrap w:val="0"/>
            <w:vAlign w:val="center"/>
          </w:tcPr>
          <w:p w14:paraId="3C26DECA">
            <w:pPr>
              <w:adjustRightInd w:val="0"/>
              <w:snapToGrid w:val="0"/>
              <w:spacing w:line="360" w:lineRule="auto"/>
              <w:jc w:val="left"/>
              <w:rPr>
                <w:rFonts w:hint="eastAsia" w:ascii="宋体" w:hAnsi="宋体" w:cs="宋体"/>
                <w:color w:val="auto"/>
                <w:highlight w:val="none"/>
              </w:rPr>
            </w:pPr>
          </w:p>
        </w:tc>
      </w:tr>
      <w:tr w14:paraId="2671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300914E4">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谈判保证金形式</w:t>
            </w:r>
          </w:p>
        </w:tc>
        <w:tc>
          <w:tcPr>
            <w:tcW w:w="7948" w:type="dxa"/>
            <w:noWrap w:val="0"/>
            <w:vAlign w:val="center"/>
          </w:tcPr>
          <w:p w14:paraId="3DEB9C4A">
            <w:pPr>
              <w:adjustRightInd w:val="0"/>
              <w:snapToGrid w:val="0"/>
              <w:spacing w:line="360" w:lineRule="auto"/>
              <w:jc w:val="left"/>
              <w:rPr>
                <w:rFonts w:hint="eastAsia" w:ascii="宋体" w:hAnsi="宋体" w:cs="宋体"/>
                <w:color w:val="auto"/>
                <w:highlight w:val="none"/>
              </w:rPr>
            </w:pPr>
          </w:p>
        </w:tc>
      </w:tr>
      <w:tr w14:paraId="0168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14" w:type="dxa"/>
            <w:noWrap w:val="0"/>
            <w:vAlign w:val="center"/>
          </w:tcPr>
          <w:p w14:paraId="38DC77E6">
            <w:pPr>
              <w:adjustRightInd w:val="0"/>
              <w:snapToGrid w:val="0"/>
              <w:spacing w:line="360" w:lineRule="auto"/>
              <w:jc w:val="center"/>
              <w:rPr>
                <w:rFonts w:hint="eastAsia" w:ascii="宋体" w:hAnsi="宋体" w:cs="宋体"/>
                <w:color w:val="auto"/>
                <w:highlight w:val="none"/>
              </w:rPr>
            </w:pPr>
            <w:r>
              <w:rPr>
                <w:rFonts w:hint="eastAsia" w:ascii="宋体" w:hAnsi="宋体" w:cs="宋体"/>
                <w:color w:val="auto"/>
                <w:highlight w:val="none"/>
              </w:rPr>
              <w:t>备注</w:t>
            </w:r>
          </w:p>
        </w:tc>
        <w:tc>
          <w:tcPr>
            <w:tcW w:w="7948" w:type="dxa"/>
            <w:noWrap w:val="0"/>
            <w:vAlign w:val="center"/>
          </w:tcPr>
          <w:p w14:paraId="7FD43FE1">
            <w:pPr>
              <w:adjustRightInd w:val="0"/>
              <w:snapToGrid w:val="0"/>
              <w:spacing w:line="360" w:lineRule="auto"/>
              <w:jc w:val="left"/>
              <w:rPr>
                <w:rFonts w:hint="eastAsia" w:ascii="宋体" w:hAnsi="宋体" w:cs="宋体"/>
                <w:color w:val="auto"/>
                <w:highlight w:val="none"/>
              </w:rPr>
            </w:pPr>
          </w:p>
        </w:tc>
      </w:tr>
      <w:tr w14:paraId="6AA6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962" w:type="dxa"/>
            <w:gridSpan w:val="2"/>
            <w:noWrap w:val="0"/>
            <w:vAlign w:val="center"/>
          </w:tcPr>
          <w:p w14:paraId="172071EB">
            <w:pPr>
              <w:adjustRightInd w:val="0"/>
              <w:snapToGrid w:val="0"/>
              <w:spacing w:line="360" w:lineRule="auto"/>
              <w:jc w:val="left"/>
              <w:rPr>
                <w:rFonts w:hint="eastAsia" w:ascii="宋体" w:hAnsi="宋体" w:cs="宋体"/>
                <w:color w:val="auto"/>
                <w:highlight w:val="none"/>
              </w:rPr>
            </w:pPr>
          </w:p>
          <w:p w14:paraId="14C1658D">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供应商（盖单位公章）：</w:t>
            </w:r>
          </w:p>
          <w:p w14:paraId="59135EA4">
            <w:pPr>
              <w:adjustRightInd w:val="0"/>
              <w:snapToGrid w:val="0"/>
              <w:spacing w:line="360" w:lineRule="auto"/>
              <w:jc w:val="left"/>
              <w:rPr>
                <w:rFonts w:hint="eastAsia" w:ascii="宋体" w:hAnsi="宋体" w:cs="宋体"/>
                <w:color w:val="auto"/>
                <w:highlight w:val="none"/>
              </w:rPr>
            </w:pPr>
          </w:p>
          <w:p w14:paraId="6C3D44C0">
            <w:pPr>
              <w:adjustRightInd w:val="0"/>
              <w:snapToGrid w:val="0"/>
              <w:spacing w:line="360" w:lineRule="auto"/>
              <w:jc w:val="left"/>
              <w:rPr>
                <w:rFonts w:hint="eastAsia" w:ascii="宋体" w:hAnsi="宋体" w:cs="宋体"/>
                <w:color w:val="auto"/>
                <w:highlight w:val="none"/>
              </w:rPr>
            </w:pPr>
          </w:p>
          <w:p w14:paraId="7E91AEBD">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法定代表人或其委托代理人（签字或盖章）：</w:t>
            </w:r>
          </w:p>
          <w:p w14:paraId="21700D8E">
            <w:pPr>
              <w:adjustRightInd w:val="0"/>
              <w:snapToGrid w:val="0"/>
              <w:spacing w:line="360" w:lineRule="auto"/>
              <w:jc w:val="left"/>
              <w:rPr>
                <w:rFonts w:hint="eastAsia" w:ascii="宋体" w:hAnsi="宋体" w:cs="宋体"/>
                <w:color w:val="auto"/>
                <w:highlight w:val="none"/>
              </w:rPr>
            </w:pPr>
          </w:p>
          <w:p w14:paraId="2543A990">
            <w:pPr>
              <w:adjustRightInd w:val="0"/>
              <w:snapToGrid w:val="0"/>
              <w:spacing w:line="360" w:lineRule="auto"/>
              <w:jc w:val="left"/>
              <w:rPr>
                <w:rFonts w:hint="eastAsia" w:ascii="宋体" w:hAnsi="宋体" w:cs="宋体"/>
                <w:color w:val="auto"/>
                <w:highlight w:val="none"/>
              </w:rPr>
            </w:pPr>
          </w:p>
          <w:p w14:paraId="4DEA06F9">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32E1D0AB">
            <w:pPr>
              <w:adjustRightInd w:val="0"/>
              <w:snapToGrid w:val="0"/>
              <w:spacing w:line="360" w:lineRule="auto"/>
              <w:jc w:val="center"/>
              <w:rPr>
                <w:rFonts w:hint="eastAsia" w:ascii="宋体" w:hAnsi="宋体" w:cs="宋体"/>
                <w:color w:val="auto"/>
                <w:highlight w:val="none"/>
              </w:rPr>
            </w:pPr>
          </w:p>
        </w:tc>
      </w:tr>
    </w:tbl>
    <w:p w14:paraId="5B7270D2">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w:t>
      </w:r>
    </w:p>
    <w:p w14:paraId="592CAE16">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1、本表须放在响应文件封面（或扉页）后第一页，且不得对格式作任何更改。</w:t>
      </w:r>
    </w:p>
    <w:p w14:paraId="53DD8655">
      <w:pPr>
        <w:pStyle w:val="24"/>
        <w:spacing w:line="360" w:lineRule="auto"/>
        <w:rPr>
          <w:rFonts w:hint="eastAsia" w:hAnsi="宋体" w:cs="宋体"/>
          <w:b/>
          <w:color w:val="auto"/>
          <w:sz w:val="21"/>
          <w:szCs w:val="21"/>
          <w:highlight w:val="none"/>
        </w:rPr>
      </w:pPr>
      <w:r>
        <w:rPr>
          <w:rFonts w:hint="eastAsia" w:hAnsi="宋体" w:cs="宋体"/>
          <w:b/>
          <w:color w:val="auto"/>
          <w:sz w:val="21"/>
          <w:szCs w:val="21"/>
          <w:highlight w:val="none"/>
        </w:rPr>
        <w:t>2、谈判</w:t>
      </w:r>
      <w:r>
        <w:rPr>
          <w:rFonts w:hint="eastAsia" w:hAnsi="宋体" w:cs="宋体"/>
          <w:b/>
          <w:color w:val="auto"/>
          <w:sz w:val="21"/>
          <w:szCs w:val="21"/>
          <w:highlight w:val="none"/>
          <w:lang w:val="en-US" w:eastAsia="zh-CN"/>
        </w:rPr>
        <w:t>总</w:t>
      </w:r>
      <w:r>
        <w:rPr>
          <w:rFonts w:hint="eastAsia" w:hAnsi="宋体" w:cs="宋体"/>
          <w:b/>
          <w:color w:val="auto"/>
          <w:sz w:val="21"/>
          <w:szCs w:val="21"/>
          <w:highlight w:val="none"/>
        </w:rPr>
        <w:t>报价一律采用人民币报价（单位元），保留两位小数。</w:t>
      </w:r>
    </w:p>
    <w:p w14:paraId="6BABABA6">
      <w:pPr>
        <w:spacing w:line="360" w:lineRule="auto"/>
        <w:rPr>
          <w:rFonts w:hint="eastAsia"/>
          <w:b/>
          <w:bCs/>
          <w:color w:val="auto"/>
          <w:highlight w:val="none"/>
          <w:lang w:val="en-US" w:eastAsia="zh-CN"/>
        </w:rPr>
      </w:pPr>
      <w:r>
        <w:rPr>
          <w:rFonts w:hint="eastAsia" w:hAnsi="宋体" w:cs="宋体"/>
          <w:b/>
          <w:color w:val="auto"/>
          <w:sz w:val="21"/>
          <w:szCs w:val="21"/>
          <w:highlight w:val="none"/>
          <w:lang w:val="en-US" w:eastAsia="zh-CN"/>
        </w:rPr>
        <w:t>3</w:t>
      </w:r>
      <w:r>
        <w:rPr>
          <w:rFonts w:hint="eastAsia" w:hAnsi="宋体" w:cs="宋体"/>
          <w:b/>
          <w:color w:val="auto"/>
          <w:sz w:val="21"/>
          <w:szCs w:val="21"/>
          <w:highlight w:val="none"/>
        </w:rPr>
        <w:t>、</w:t>
      </w:r>
      <w:r>
        <w:rPr>
          <w:rFonts w:hint="eastAsia" w:ascii="宋体" w:hAnsi="宋体" w:eastAsia="宋体" w:cs="宋体"/>
          <w:b/>
          <w:bCs/>
          <w:color w:val="auto"/>
          <w:sz w:val="21"/>
          <w:szCs w:val="21"/>
          <w:highlight w:val="none"/>
          <w:lang w:val="en-US" w:eastAsia="zh-CN"/>
        </w:rPr>
        <w:t>谈判总报价＝总价包干劳务费用*</w:t>
      </w:r>
      <w:r>
        <w:rPr>
          <w:rFonts w:hint="eastAsia" w:ascii="宋体" w:hAnsi="宋体" w:cs="宋体"/>
          <w:b/>
          <w:bCs/>
          <w:color w:val="auto"/>
          <w:sz w:val="21"/>
          <w:szCs w:val="21"/>
          <w:highlight w:val="none"/>
          <w:lang w:val="en-US" w:eastAsia="zh-CN"/>
        </w:rPr>
        <w:t>12个月</w:t>
      </w:r>
      <w:r>
        <w:rPr>
          <w:rFonts w:hint="eastAsia" w:ascii="宋体" w:hAnsi="宋体" w:eastAsia="宋体" w:cs="宋体"/>
          <w:b/>
          <w:bCs/>
          <w:color w:val="auto"/>
          <w:sz w:val="21"/>
          <w:szCs w:val="21"/>
          <w:highlight w:val="none"/>
          <w:lang w:val="en-US" w:eastAsia="zh-CN"/>
        </w:rPr>
        <w:t>。谈判总报价只作为报价分值的计算依据，最终结算数量以实际发生为准，结算价格以总价包干劳务费用为准</w:t>
      </w:r>
      <w:r>
        <w:rPr>
          <w:rFonts w:hint="eastAsia"/>
          <w:b/>
          <w:bCs/>
          <w:color w:val="auto"/>
          <w:highlight w:val="none"/>
          <w:lang w:val="en-US" w:eastAsia="zh-CN"/>
        </w:rPr>
        <w:t>。</w:t>
      </w:r>
    </w:p>
    <w:p w14:paraId="665455DE">
      <w:pPr>
        <w:spacing w:line="360" w:lineRule="auto"/>
        <w:rPr>
          <w:rFonts w:hint="default"/>
          <w:b/>
          <w:bCs/>
          <w:color w:val="auto"/>
          <w:highlight w:val="none"/>
          <w:lang w:val="en-US" w:eastAsia="zh-CN"/>
        </w:rPr>
      </w:pPr>
      <w:r>
        <w:rPr>
          <w:rFonts w:hint="eastAsia"/>
          <w:b/>
          <w:bCs/>
          <w:color w:val="auto"/>
          <w:highlight w:val="none"/>
          <w:lang w:val="en-US" w:eastAsia="zh-CN"/>
        </w:rPr>
        <w:t>4、关于《第五章 采购人需求》中“二、工作内容/2.(1)”中623装置生产运行人员,若学历不达标不允许进入工作岗位，按4000元/人/月标准进行考核。</w:t>
      </w:r>
    </w:p>
    <w:p w14:paraId="471205B7">
      <w:pPr>
        <w:spacing w:line="360" w:lineRule="auto"/>
        <w:jc w:val="left"/>
        <w:rPr>
          <w:rFonts w:hint="eastAsia" w:ascii="宋体" w:hAnsi="宋体" w:cs="宋体"/>
          <w:b/>
          <w:color w:val="auto"/>
          <w:sz w:val="24"/>
          <w:highlight w:val="none"/>
        </w:rPr>
      </w:pPr>
    </w:p>
    <w:p w14:paraId="3225B5D1">
      <w:pPr>
        <w:adjustRightInd w:val="0"/>
        <w:snapToGrid w:val="0"/>
        <w:spacing w:line="360" w:lineRule="auto"/>
        <w:ind w:left="0" w:leftChars="0" w:right="0" w:rightChars="0" w:firstLine="0" w:firstLineChars="0"/>
        <w:jc w:val="center"/>
        <w:rPr>
          <w:rFonts w:hint="eastAsia" w:hAnsi="宋体" w:cs="宋体"/>
          <w:b/>
          <w:color w:val="auto"/>
          <w:highlight w:val="none"/>
        </w:rPr>
      </w:pPr>
      <w:bookmarkStart w:id="328" w:name="_Toc30224"/>
      <w:bookmarkStart w:id="329" w:name="_Toc8842"/>
      <w:bookmarkStart w:id="330" w:name="_Toc13537"/>
      <w:bookmarkStart w:id="331" w:name="_Toc8937"/>
      <w:bookmarkStart w:id="332" w:name="_Toc16214"/>
      <w:bookmarkStart w:id="333" w:name="_Toc30490"/>
      <w:bookmarkStart w:id="334" w:name="_Toc24423"/>
      <w:bookmarkStart w:id="335" w:name="_Toc18607"/>
      <w:bookmarkStart w:id="336" w:name="_Toc3601"/>
      <w:bookmarkStart w:id="337" w:name="_Toc20662"/>
      <w:r>
        <w:rPr>
          <w:rFonts w:hint="eastAsia" w:hAnsi="宋体" w:cs="宋体"/>
          <w:color w:val="auto"/>
          <w:szCs w:val="24"/>
          <w:highlight w:val="none"/>
        </w:rPr>
        <w:br w:type="page"/>
      </w:r>
      <w:r>
        <w:rPr>
          <w:rFonts w:hint="eastAsia" w:hAnsi="宋体" w:cs="宋体"/>
          <w:color w:val="auto"/>
          <w:szCs w:val="24"/>
          <w:highlight w:val="none"/>
        </w:rPr>
        <w:t>（二）谈 判 申 请 函</w:t>
      </w:r>
      <w:bookmarkEnd w:id="328"/>
      <w:bookmarkEnd w:id="329"/>
      <w:bookmarkEnd w:id="330"/>
      <w:bookmarkEnd w:id="331"/>
      <w:bookmarkEnd w:id="332"/>
      <w:bookmarkEnd w:id="333"/>
      <w:bookmarkEnd w:id="334"/>
      <w:bookmarkEnd w:id="335"/>
      <w:bookmarkEnd w:id="336"/>
      <w:bookmarkEnd w:id="337"/>
    </w:p>
    <w:p w14:paraId="40AB4F30">
      <w:pPr>
        <w:pStyle w:val="24"/>
        <w:snapToGrid w:val="0"/>
        <w:spacing w:line="360" w:lineRule="auto"/>
        <w:rPr>
          <w:rFonts w:hint="eastAsia" w:hAnsi="宋体" w:cs="宋体"/>
          <w:color w:val="auto"/>
          <w:sz w:val="24"/>
          <w:highlight w:val="none"/>
        </w:rPr>
      </w:pPr>
    </w:p>
    <w:p w14:paraId="1C47C14F">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（采购人）</w:t>
      </w:r>
    </w:p>
    <w:p w14:paraId="22F64D8F">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根据贵方</w:t>
      </w:r>
      <w:r>
        <w:rPr>
          <w:rFonts w:hint="eastAsia" w:hAnsi="宋体" w:cs="宋体"/>
          <w:color w:val="auto"/>
          <w:sz w:val="21"/>
          <w:szCs w:val="21"/>
          <w:highlight w:val="none"/>
          <w:u w:val="single"/>
        </w:rPr>
        <w:t xml:space="preserve">（项目名称）        </w:t>
      </w:r>
      <w:r>
        <w:rPr>
          <w:rFonts w:hint="eastAsia" w:hAnsi="宋体" w:cs="宋体"/>
          <w:color w:val="auto"/>
          <w:sz w:val="21"/>
          <w:szCs w:val="21"/>
          <w:highlight w:val="none"/>
        </w:rPr>
        <w:t>（项目编号：</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），现正式授权下述签字人</w:t>
      </w:r>
      <w:r>
        <w:rPr>
          <w:rFonts w:hint="eastAsia" w:hAnsi="宋体" w:cs="宋体"/>
          <w:color w:val="auto"/>
          <w:sz w:val="21"/>
          <w:szCs w:val="21"/>
          <w:highlight w:val="none"/>
          <w:u w:val="single"/>
        </w:rPr>
        <w:t xml:space="preserve">  （姓名和职务）   </w:t>
      </w:r>
      <w:r>
        <w:rPr>
          <w:rFonts w:hint="eastAsia" w:hAnsi="宋体" w:cs="宋体"/>
          <w:color w:val="auto"/>
          <w:sz w:val="21"/>
          <w:szCs w:val="21"/>
          <w:highlight w:val="none"/>
        </w:rPr>
        <w:t>全权代表供应商</w:t>
      </w:r>
      <w:r>
        <w:rPr>
          <w:rFonts w:hint="eastAsia" w:hAnsi="宋体" w:cs="宋体"/>
          <w:color w:val="auto"/>
          <w:sz w:val="21"/>
          <w:szCs w:val="21"/>
          <w:highlight w:val="none"/>
          <w:u w:val="single"/>
        </w:rPr>
        <w:t xml:space="preserve"> （供应商全称）  </w:t>
      </w:r>
      <w:r>
        <w:rPr>
          <w:rFonts w:hint="eastAsia" w:hAnsi="宋体" w:cs="宋体"/>
          <w:color w:val="auto"/>
          <w:sz w:val="21"/>
          <w:szCs w:val="21"/>
          <w:highlight w:val="none"/>
        </w:rPr>
        <w:t>参加贵方组织的有关谈判活动，并提交响应文件正本一份，副本</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w:t>
      </w:r>
    </w:p>
    <w:p w14:paraId="1AD1C2ED">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据此函，签字人兹宣布同意如下：</w:t>
      </w:r>
    </w:p>
    <w:p w14:paraId="4985D82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1、我公司愿意参加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）项目的谈判。</w:t>
      </w:r>
    </w:p>
    <w:p w14:paraId="5AB8A6E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lang w:val="en-US" w:eastAsia="zh-CN"/>
        </w:rPr>
        <w:t>总价包干劳务费用为：</w:t>
      </w:r>
      <w:r>
        <w:rPr>
          <w:rFonts w:hint="eastAsia" w:ascii="宋体" w:hAnsi="宋体" w:cs="宋体"/>
          <w:color w:val="auto"/>
          <w:szCs w:val="21"/>
          <w:highlight w:val="none"/>
          <w:u w:val="single"/>
        </w:rPr>
        <w:t xml:space="preserve">        元</w:t>
      </w:r>
      <w:r>
        <w:rPr>
          <w:rFonts w:hint="eastAsia" w:ascii="宋体" w:hAnsi="宋体" w:cs="宋体"/>
          <w:color w:val="auto"/>
          <w:szCs w:val="21"/>
          <w:highlight w:val="none"/>
          <w:u w:val="single"/>
          <w:lang w:val="en-US" w:eastAsia="zh-CN"/>
        </w:rPr>
        <w:t>/月</w:t>
      </w:r>
      <w:r>
        <w:rPr>
          <w:rFonts w:hint="eastAsia" w:ascii="宋体" w:hAnsi="宋体" w:cs="宋体"/>
          <w:color w:val="auto"/>
          <w:szCs w:val="21"/>
          <w:highlight w:val="none"/>
          <w:u w:val="single"/>
        </w:rPr>
        <w:t xml:space="preserve">(大写：       </w:t>
      </w:r>
      <w:r>
        <w:rPr>
          <w:rFonts w:hint="eastAsia" w:ascii="宋体" w:hAnsi="宋体" w:cs="宋体"/>
          <w:color w:val="auto"/>
          <w:szCs w:val="21"/>
          <w:highlight w:val="none"/>
        </w:rPr>
        <w:t>)</w:t>
      </w:r>
      <w:r>
        <w:rPr>
          <w:rFonts w:hint="eastAsia" w:ascii="宋体" w:hAnsi="宋体" w:cs="宋体"/>
          <w:color w:val="auto"/>
          <w:highlight w:val="none"/>
          <w:lang w:val="en-US" w:eastAsia="zh-CN"/>
        </w:rPr>
        <w:t>；</w:t>
      </w:r>
      <w:r>
        <w:rPr>
          <w:rFonts w:hint="eastAsia" w:ascii="宋体" w:hAnsi="宋体" w:cs="宋体"/>
          <w:color w:val="auto"/>
          <w:szCs w:val="21"/>
          <w:highlight w:val="none"/>
        </w:rPr>
        <w:t>谈判报价为：</w:t>
      </w:r>
      <w:r>
        <w:rPr>
          <w:rFonts w:hint="eastAsia" w:ascii="宋体" w:hAnsi="宋体" w:cs="宋体"/>
          <w:color w:val="auto"/>
          <w:szCs w:val="21"/>
          <w:highlight w:val="none"/>
          <w:u w:val="single"/>
        </w:rPr>
        <w:t xml:space="preserve">        元(大写：       </w:t>
      </w:r>
      <w:r>
        <w:rPr>
          <w:rFonts w:hint="eastAsia" w:ascii="宋体" w:hAnsi="宋体" w:cs="宋体"/>
          <w:color w:val="auto"/>
          <w:szCs w:val="21"/>
          <w:highlight w:val="none"/>
        </w:rPr>
        <w:t>)，</w:t>
      </w:r>
      <w:r>
        <w:rPr>
          <w:rFonts w:hint="eastAsia" w:ascii="宋体" w:hAnsi="宋体" w:cs="宋体"/>
          <w:color w:val="auto"/>
          <w:kern w:val="0"/>
          <w:szCs w:val="21"/>
          <w:highlight w:val="none"/>
        </w:rPr>
        <w:t>服务周期</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，质量要求</w:t>
      </w:r>
      <w:r>
        <w:rPr>
          <w:rFonts w:hint="eastAsia" w:ascii="宋体" w:hAnsi="宋体" w:cs="宋体"/>
          <w:color w:val="auto"/>
          <w:szCs w:val="21"/>
          <w:highlight w:val="none"/>
          <w:lang w:val="en-US" w:eastAsia="zh-CN"/>
        </w:rPr>
        <w:t>及标准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10A3228">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3、我方同意在供应商须知规定的谈判日期起遵循本响应文件，并在竞争性谈判文件规定的响应文件有效期满之前均具有约束力。如果我方被接受，则至合同履行完、缺陷责任期满为止，本谈判函保持有效。</w:t>
      </w:r>
    </w:p>
    <w:p w14:paraId="1176613C">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4、我方承诺已经具备相关法律法规中规定的参加谈判活动的供应商应当具备的条件。</w:t>
      </w:r>
    </w:p>
    <w:p w14:paraId="6EF07F31">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5、我方同意供应商须知中关于没收谈判保证金的规定。</w:t>
      </w:r>
    </w:p>
    <w:p w14:paraId="0B92805F">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6、我方同意响应贵方要求提供与本项目有关的任何数据或资料。</w:t>
      </w:r>
    </w:p>
    <w:p w14:paraId="175FDA63">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7、我方完全理解贵方不一定要接受最低报价的供应商为成交人的行为。</w:t>
      </w:r>
    </w:p>
    <w:p w14:paraId="6E39766B">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8、如我方成交：</w:t>
      </w:r>
    </w:p>
    <w:p w14:paraId="3245673A">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（1）我方承诺在收到成交通知书后，在成交通知书规定的期限内与你方签订合同，并履行相应的合同责任和义务。</w:t>
      </w:r>
    </w:p>
    <w:p w14:paraId="673DA337">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（2）我方承诺按照竞争性谈判文件规定向你方递交履约保证金。</w:t>
      </w:r>
    </w:p>
    <w:p w14:paraId="36D83A44">
      <w:pPr>
        <w:pStyle w:val="24"/>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9、若贵方需要，我方愿意提供我方作出的一切承诺的证明材料。</w:t>
      </w:r>
    </w:p>
    <w:p w14:paraId="56C084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6CD09B8E">
      <w:pPr>
        <w:pStyle w:val="24"/>
        <w:snapToGrid w:val="0"/>
        <w:spacing w:line="360" w:lineRule="auto"/>
        <w:ind w:firstLine="420" w:firstLineChars="200"/>
        <w:rPr>
          <w:rFonts w:hint="eastAsia" w:hAnsi="宋体" w:cs="宋体"/>
          <w:color w:val="auto"/>
          <w:sz w:val="21"/>
          <w:szCs w:val="21"/>
          <w:highlight w:val="none"/>
        </w:rPr>
      </w:pPr>
    </w:p>
    <w:p w14:paraId="13E68185">
      <w:pPr>
        <w:pStyle w:val="24"/>
        <w:snapToGrid w:val="0"/>
        <w:spacing w:line="360" w:lineRule="auto"/>
        <w:rPr>
          <w:rFonts w:hint="eastAsia" w:hAnsi="宋体" w:cs="宋体"/>
          <w:color w:val="auto"/>
          <w:sz w:val="21"/>
          <w:szCs w:val="21"/>
          <w:highlight w:val="none"/>
        </w:rPr>
      </w:pPr>
    </w:p>
    <w:p w14:paraId="12C7A810">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与本谈判有关的正式通讯地址为：</w:t>
      </w:r>
    </w:p>
    <w:p w14:paraId="31425048">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 xml:space="preserve">       </w:t>
      </w:r>
    </w:p>
    <w:p w14:paraId="75498D5F">
      <w:pPr>
        <w:pStyle w:val="24"/>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7DDB9090">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20AD2BEB">
      <w:pPr>
        <w:pStyle w:val="24"/>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21AEAD55">
      <w:pPr>
        <w:pStyle w:val="24"/>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68C01AB6">
      <w:pPr>
        <w:pStyle w:val="24"/>
        <w:snapToGrid w:val="0"/>
        <w:spacing w:line="360" w:lineRule="auto"/>
        <w:rPr>
          <w:rFonts w:hint="eastAsia" w:hAnsi="宋体" w:cs="宋体"/>
          <w:color w:val="auto"/>
          <w:sz w:val="21"/>
          <w:szCs w:val="21"/>
          <w:highlight w:val="none"/>
          <w:u w:val="single"/>
        </w:rPr>
      </w:pPr>
      <w:r>
        <w:rPr>
          <w:rFonts w:hint="eastAsia" w:hAnsi="宋体" w:cs="宋体"/>
          <w:color w:val="auto"/>
          <w:sz w:val="21"/>
          <w:szCs w:val="21"/>
          <w:highlight w:val="none"/>
        </w:rPr>
        <w:t>帐  号：</w:t>
      </w:r>
      <w:r>
        <w:rPr>
          <w:rFonts w:hint="eastAsia" w:hAnsi="宋体" w:cs="宋体"/>
          <w:color w:val="auto"/>
          <w:sz w:val="21"/>
          <w:szCs w:val="21"/>
          <w:highlight w:val="none"/>
          <w:u w:val="single"/>
        </w:rPr>
        <w:t xml:space="preserve">                          </w:t>
      </w:r>
    </w:p>
    <w:p w14:paraId="6A24386A">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法定代表人或其委托代理人（签字或盖章）：</w:t>
      </w:r>
      <w:r>
        <w:rPr>
          <w:rFonts w:hint="eastAsia" w:hAnsi="宋体" w:cs="宋体"/>
          <w:color w:val="auto"/>
          <w:sz w:val="21"/>
          <w:szCs w:val="21"/>
          <w:highlight w:val="none"/>
          <w:u w:val="single"/>
        </w:rPr>
        <w:t xml:space="preserve">            </w:t>
      </w:r>
    </w:p>
    <w:p w14:paraId="768752E4">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供应商（盖单位公章）：</w:t>
      </w:r>
      <w:r>
        <w:rPr>
          <w:rFonts w:hint="eastAsia" w:hAnsi="宋体" w:cs="宋体"/>
          <w:color w:val="auto"/>
          <w:sz w:val="21"/>
          <w:szCs w:val="21"/>
          <w:highlight w:val="none"/>
          <w:u w:val="single"/>
        </w:rPr>
        <w:t xml:space="preserve">                        </w:t>
      </w:r>
    </w:p>
    <w:p w14:paraId="2E68EFE9">
      <w:pPr>
        <w:pStyle w:val="24"/>
        <w:snapToGrid w:val="0"/>
        <w:spacing w:line="360" w:lineRule="auto"/>
        <w:rPr>
          <w:rFonts w:hint="eastAsia" w:hAnsi="宋体" w:cs="宋体"/>
          <w:color w:val="auto"/>
          <w:sz w:val="24"/>
          <w:highlight w:val="none"/>
          <w:u w:val="single"/>
        </w:rPr>
      </w:pPr>
      <w:r>
        <w:rPr>
          <w:rFonts w:hint="eastAsia" w:hAnsi="宋体" w:cs="宋体"/>
          <w:color w:val="auto"/>
          <w:sz w:val="21"/>
          <w:szCs w:val="21"/>
          <w:highlight w:val="none"/>
        </w:rPr>
        <w:t>谈判日期：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rPr>
        <w:br w:type="page"/>
      </w:r>
    </w:p>
    <w:p w14:paraId="3778DDA0">
      <w:pPr>
        <w:pStyle w:val="24"/>
        <w:spacing w:line="360" w:lineRule="auto"/>
        <w:jc w:val="center"/>
        <w:outlineLvl w:val="1"/>
        <w:rPr>
          <w:rFonts w:hint="eastAsia" w:hAnsi="宋体" w:cs="宋体"/>
          <w:b/>
          <w:color w:val="auto"/>
          <w:sz w:val="28"/>
          <w:szCs w:val="28"/>
          <w:highlight w:val="none"/>
        </w:rPr>
      </w:pPr>
      <w:bookmarkStart w:id="338" w:name="_Toc28984"/>
      <w:bookmarkStart w:id="339" w:name="_Toc11178"/>
      <w:bookmarkStart w:id="340" w:name="_Toc1503"/>
      <w:bookmarkStart w:id="341" w:name="_Toc3146"/>
      <w:bookmarkStart w:id="342" w:name="_Toc3592"/>
      <w:bookmarkStart w:id="343" w:name="_Toc18942"/>
      <w:bookmarkStart w:id="344" w:name="_Toc7130"/>
      <w:bookmarkStart w:id="345" w:name="_Toc21804"/>
      <w:bookmarkStart w:id="346" w:name="_Toc8810"/>
      <w:bookmarkStart w:id="347" w:name="_Toc26545"/>
      <w:bookmarkStart w:id="348" w:name="_Toc32043"/>
      <w:bookmarkStart w:id="349" w:name="_Toc4448"/>
      <w:bookmarkStart w:id="350" w:name="_Toc6418"/>
      <w:bookmarkStart w:id="351" w:name="_Toc9617"/>
      <w:r>
        <w:rPr>
          <w:rFonts w:hint="eastAsia" w:hAnsi="宋体" w:cs="宋体"/>
          <w:b/>
          <w:color w:val="auto"/>
          <w:sz w:val="28"/>
          <w:szCs w:val="28"/>
          <w:highlight w:val="none"/>
        </w:rPr>
        <w:t>二、资格</w:t>
      </w:r>
      <w:bookmarkEnd w:id="338"/>
      <w:r>
        <w:rPr>
          <w:rFonts w:hint="eastAsia" w:hAnsi="宋体" w:cs="宋体"/>
          <w:b/>
          <w:color w:val="auto"/>
          <w:sz w:val="28"/>
          <w:szCs w:val="28"/>
          <w:highlight w:val="none"/>
        </w:rPr>
        <w:t>部分</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6F1579E0">
      <w:pPr>
        <w:spacing w:line="360" w:lineRule="auto"/>
        <w:jc w:val="center"/>
        <w:outlineLvl w:val="2"/>
        <w:rPr>
          <w:rFonts w:hint="eastAsia" w:ascii="宋体" w:hAnsi="宋体" w:cs="宋体"/>
          <w:color w:val="auto"/>
          <w:sz w:val="24"/>
          <w:highlight w:val="none"/>
        </w:rPr>
      </w:pPr>
      <w:bookmarkStart w:id="352" w:name="_Toc10004"/>
      <w:bookmarkStart w:id="353" w:name="_Toc7846"/>
      <w:bookmarkStart w:id="354" w:name="_Toc1462"/>
      <w:bookmarkStart w:id="355" w:name="_Toc18241"/>
      <w:bookmarkStart w:id="356" w:name="_Toc27155"/>
      <w:bookmarkStart w:id="357" w:name="_Toc14379"/>
      <w:bookmarkStart w:id="358" w:name="_Toc7936"/>
      <w:bookmarkStart w:id="359" w:name="_Toc13034"/>
      <w:bookmarkStart w:id="360" w:name="_Toc11284"/>
      <w:bookmarkStart w:id="361" w:name="_Toc19347"/>
      <w:bookmarkStart w:id="362" w:name="_Toc16700"/>
      <w:bookmarkStart w:id="363" w:name="_Toc25507"/>
      <w:r>
        <w:rPr>
          <w:rFonts w:hint="eastAsia" w:ascii="宋体" w:hAnsi="宋体" w:cs="宋体"/>
          <w:b/>
          <w:color w:val="auto"/>
          <w:sz w:val="24"/>
          <w:highlight w:val="none"/>
        </w:rPr>
        <w:t>（一）法定代表人身份证明书及授权委托书</w:t>
      </w:r>
      <w:bookmarkEnd w:id="352"/>
      <w:bookmarkEnd w:id="353"/>
      <w:bookmarkEnd w:id="354"/>
      <w:bookmarkEnd w:id="355"/>
      <w:bookmarkEnd w:id="356"/>
      <w:bookmarkEnd w:id="357"/>
      <w:bookmarkEnd w:id="358"/>
      <w:bookmarkEnd w:id="359"/>
      <w:bookmarkEnd w:id="360"/>
      <w:bookmarkEnd w:id="361"/>
      <w:bookmarkEnd w:id="362"/>
      <w:bookmarkEnd w:id="363"/>
    </w:p>
    <w:p w14:paraId="65C8DBC1">
      <w:pPr>
        <w:adjustRightInd w:val="0"/>
        <w:snapToGrid w:val="0"/>
        <w:spacing w:line="360" w:lineRule="auto"/>
        <w:jc w:val="center"/>
        <w:rPr>
          <w:rFonts w:hint="eastAsia" w:ascii="宋体" w:hAnsi="宋体" w:cs="宋体"/>
          <w:b/>
          <w:color w:val="auto"/>
          <w:sz w:val="24"/>
          <w:highlight w:val="none"/>
        </w:rPr>
      </w:pPr>
      <w:bookmarkStart w:id="364" w:name="_Toc9311"/>
      <w:bookmarkStart w:id="365" w:name="_Toc20404"/>
      <w:r>
        <w:rPr>
          <w:rFonts w:hint="eastAsia" w:ascii="宋体" w:hAnsi="宋体" w:cs="宋体"/>
          <w:b/>
          <w:color w:val="auto"/>
          <w:sz w:val="24"/>
          <w:highlight w:val="none"/>
        </w:rPr>
        <w:t>1.法定代表人资格证明书</w:t>
      </w:r>
      <w:bookmarkEnd w:id="364"/>
      <w:bookmarkEnd w:id="365"/>
    </w:p>
    <w:p w14:paraId="5A31BEB2">
      <w:pPr>
        <w:adjustRightInd w:val="0"/>
        <w:snapToGrid w:val="0"/>
        <w:spacing w:line="360" w:lineRule="auto"/>
        <w:rPr>
          <w:rFonts w:hint="eastAsia" w:ascii="宋体" w:hAnsi="宋体" w:cs="宋体"/>
          <w:color w:val="auto"/>
          <w:sz w:val="24"/>
          <w:highlight w:val="none"/>
        </w:rPr>
      </w:pPr>
    </w:p>
    <w:p w14:paraId="0E25D2C2">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198D185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65DF65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AEC661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CACEF9B">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14D0C9DE">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765F5DB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w:t>
      </w:r>
    </w:p>
    <w:p w14:paraId="6EB86B7F">
      <w:pPr>
        <w:adjustRightInd w:val="0"/>
        <w:snapToGrid w:val="0"/>
        <w:spacing w:line="360" w:lineRule="auto"/>
        <w:rPr>
          <w:rFonts w:hint="eastAsia" w:ascii="宋体" w:hAnsi="宋体" w:cs="宋体"/>
          <w:color w:val="auto"/>
          <w:szCs w:val="21"/>
          <w:highlight w:val="none"/>
        </w:rPr>
      </w:pPr>
    </w:p>
    <w:p w14:paraId="150F752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2BA5E556">
      <w:pPr>
        <w:adjustRightInd w:val="0"/>
        <w:snapToGrid w:val="0"/>
        <w:spacing w:line="360" w:lineRule="auto"/>
        <w:rPr>
          <w:rFonts w:hint="eastAsia" w:ascii="宋体" w:hAnsi="宋体" w:cs="宋体"/>
          <w:color w:val="auto"/>
          <w:szCs w:val="21"/>
          <w:highlight w:val="none"/>
        </w:rPr>
      </w:pPr>
    </w:p>
    <w:p w14:paraId="3CB5C3A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附：法定代表人身份证（复印件）</w:t>
      </w:r>
    </w:p>
    <w:p w14:paraId="17E60E4C">
      <w:pPr>
        <w:adjustRightInd w:val="0"/>
        <w:snapToGrid w:val="0"/>
        <w:spacing w:line="360" w:lineRule="auto"/>
        <w:jc w:val="center"/>
        <w:rPr>
          <w:rFonts w:hint="eastAsia" w:ascii="宋体" w:hAnsi="宋体" w:cs="宋体"/>
          <w:color w:val="auto"/>
          <w:szCs w:val="21"/>
          <w:highlight w:val="none"/>
        </w:rPr>
      </w:pPr>
    </w:p>
    <w:p w14:paraId="607F51A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72070392">
      <w:pPr>
        <w:adjustRightInd w:val="0"/>
        <w:snapToGrid w:val="0"/>
        <w:spacing w:line="360" w:lineRule="auto"/>
        <w:rPr>
          <w:rFonts w:hint="eastAsia" w:ascii="宋体" w:hAnsi="宋体" w:cs="宋体"/>
          <w:color w:val="auto"/>
          <w:szCs w:val="21"/>
          <w:highlight w:val="none"/>
        </w:rPr>
      </w:pPr>
    </w:p>
    <w:p w14:paraId="1C05023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3758CD4">
      <w:pPr>
        <w:adjustRightInd w:val="0"/>
        <w:snapToGrid w:val="0"/>
        <w:spacing w:line="360" w:lineRule="auto"/>
        <w:rPr>
          <w:rFonts w:hint="eastAsia" w:ascii="宋体" w:hAnsi="宋体" w:cs="宋体"/>
          <w:b/>
          <w:bCs/>
          <w:color w:val="auto"/>
          <w:szCs w:val="21"/>
          <w:highlight w:val="none"/>
        </w:rPr>
      </w:pPr>
      <w:r>
        <w:rPr>
          <w:rFonts w:hint="eastAsia" w:ascii="宋体" w:hAnsi="宋体" w:cs="宋体"/>
          <w:color w:val="auto"/>
          <w:sz w:val="24"/>
          <w:highlight w:val="none"/>
        </w:rPr>
        <mc:AlternateContent>
          <mc:Choice Requires="wps">
            <w:drawing>
              <wp:inline distT="0" distB="0" distL="114300" distR="114300">
                <wp:extent cx="5367655" cy="2349500"/>
                <wp:effectExtent l="4445" t="4445" r="9525" b="8255"/>
                <wp:docPr id="1" name="圆角矩形 1"/>
                <wp:cNvGraphicFramePr/>
                <a:graphic xmlns:a="http://schemas.openxmlformats.org/drawingml/2006/main">
                  <a:graphicData uri="http://schemas.microsoft.com/office/word/2010/wordprocessingShape">
                    <wps:wsp>
                      <wps:cNvSpPr>
                        <a:spLocks noRot="1"/>
                      </wps:cNvSpPr>
                      <wps:spPr>
                        <a:xfrm>
                          <a:off x="0" y="0"/>
                          <a:ext cx="5367655" cy="2349500"/>
                        </a:xfrm>
                        <a:prstGeom prst="roundRect">
                          <a:avLst>
                            <a:gd name="adj" fmla="val 16667"/>
                          </a:avLst>
                        </a:prstGeom>
                        <a:solidFill>
                          <a:srgbClr val="FFFFFF"/>
                        </a:solidFill>
                        <a:ln w="9525" cap="flat" cmpd="sng">
                          <a:solidFill>
                            <a:srgbClr val="000000"/>
                          </a:solidFill>
                          <a:prstDash val="sysDot"/>
                          <a:headEnd type="none" w="med" len="med"/>
                          <a:tailEnd type="none" w="med" len="med"/>
                        </a:ln>
                        <a:effectLst/>
                      </wps:spPr>
                      <wps:txbx>
                        <w:txbxContent>
                          <w:p w14:paraId="3A147E4E">
                            <w:pPr>
                              <w:jc w:val="center"/>
                              <w:rPr>
                                <w:color w:val="0000FF"/>
                              </w:rPr>
                            </w:pPr>
                            <w:r>
                              <w:rPr>
                                <w:rFonts w:hint="eastAsia"/>
                                <w:color w:val="0000FF"/>
                              </w:rPr>
                              <w:t>（</w:t>
                            </w:r>
                            <w:r>
                              <w:rPr>
                                <w:color w:val="0000FF"/>
                              </w:rPr>
                              <w:t>身份证</w:t>
                            </w:r>
                            <w:r>
                              <w:rPr>
                                <w:rFonts w:hint="eastAsia"/>
                                <w:color w:val="0000FF"/>
                              </w:rPr>
                              <w:t>复印件）</w:t>
                            </w:r>
                          </w:p>
                        </w:txbxContent>
                      </wps:txbx>
                      <wps:bodyPr vert="horz" wrap="square" anchor="t" anchorCtr="0" upright="1"/>
                    </wps:wsp>
                  </a:graphicData>
                </a:graphic>
              </wp:inline>
            </w:drawing>
          </mc:Choice>
          <mc:Fallback>
            <w:pict>
              <v:roundrect id="_x0000_s1026" o:spid="_x0000_s1026" o:spt="2" style="height:185pt;width:422.65pt;" fillcolor="#FFFFFF" filled="t" stroked="t" coordsize="21600,21600" arcsize="0.166666666666667" o:gfxdata="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lvV+dYAAAAF&#10;AQAADwAAAAAAAAABACAAAAAiAAAAZHJzL2Rvd25yZXYueG1sUEsBAhQAFAAAAAgAh07iQGF8J1JX&#10;AgAAvAQAAA4AAAAAAAAAAQAgAAAAJQEAAGRycy9lMm9Eb2MueG1sUEsFBgAAAAAGAAYAWQEAAO4F&#10;AAAAAA==&#10;">
                <v:fill on="t" focussize="0,0"/>
                <v:stroke color="#000000" joinstyle="round" dashstyle="1 1"/>
                <v:imagedata o:title=""/>
                <o:lock v:ext="edit" rotation="t" aspectratio="f"/>
                <v:textbox>
                  <w:txbxContent>
                    <w:p w14:paraId="3A147E4E">
                      <w:pPr>
                        <w:jc w:val="center"/>
                        <w:rPr>
                          <w:color w:val="0000FF"/>
                        </w:rPr>
                      </w:pPr>
                      <w:r>
                        <w:rPr>
                          <w:rFonts w:hint="eastAsia"/>
                          <w:color w:val="0000FF"/>
                        </w:rPr>
                        <w:t>（</w:t>
                      </w:r>
                      <w:r>
                        <w:rPr>
                          <w:color w:val="0000FF"/>
                        </w:rPr>
                        <w:t>身份证</w:t>
                      </w:r>
                      <w:r>
                        <w:rPr>
                          <w:rFonts w:hint="eastAsia"/>
                          <w:color w:val="0000FF"/>
                        </w:rPr>
                        <w:t>复印件）</w:t>
                      </w:r>
                    </w:p>
                  </w:txbxContent>
                </v:textbox>
                <w10:wrap type="none"/>
                <w10:anchorlock/>
              </v:roundrect>
            </w:pict>
          </mc:Fallback>
        </mc:AlternateContent>
      </w:r>
    </w:p>
    <w:p w14:paraId="3E27A53A">
      <w:pPr>
        <w:adjustRightIn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br w:type="page"/>
      </w:r>
      <w:bookmarkStart w:id="366" w:name="_Toc30209"/>
      <w:bookmarkStart w:id="367" w:name="_Toc4459"/>
      <w:r>
        <w:rPr>
          <w:rFonts w:hint="eastAsia" w:ascii="宋体" w:hAnsi="宋体" w:cs="宋体"/>
          <w:b/>
          <w:color w:val="auto"/>
          <w:sz w:val="24"/>
          <w:highlight w:val="none"/>
        </w:rPr>
        <w:t>2.法定代表人授权委托书</w:t>
      </w:r>
      <w:bookmarkEnd w:id="366"/>
      <w:bookmarkEnd w:id="367"/>
    </w:p>
    <w:p w14:paraId="35097D70">
      <w:pPr>
        <w:adjustRightInd w:val="0"/>
        <w:spacing w:line="360" w:lineRule="auto"/>
        <w:jc w:val="center"/>
        <w:rPr>
          <w:rFonts w:hint="eastAsia" w:ascii="宋体" w:hAnsi="宋体" w:cs="宋体"/>
          <w:b/>
          <w:color w:val="auto"/>
          <w:sz w:val="24"/>
          <w:highlight w:val="none"/>
        </w:rPr>
      </w:pPr>
    </w:p>
    <w:p w14:paraId="317C360E">
      <w:pPr>
        <w:topLinePunct/>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（供应商名称）</w:t>
      </w:r>
      <w:r>
        <w:rPr>
          <w:rFonts w:hint="eastAsia" w:ascii="宋体" w:hAnsi="宋体" w:cs="宋体"/>
          <w:color w:val="auto"/>
          <w:szCs w:val="21"/>
          <w:highlight w:val="none"/>
        </w:rPr>
        <w:t>的法定代表人，现委托</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为我方代理人。代理人根据授权，以我方名义签署、澄清、说明、补正、递交、撤回、修改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响应文件、签订合同和处理有关事宜，其法律后果由我方承担。</w:t>
      </w:r>
    </w:p>
    <w:p w14:paraId="32D2BEA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0980E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430071C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附：授权委托代理人身份证（复印件）</w:t>
      </w:r>
    </w:p>
    <w:p w14:paraId="4747E024">
      <w:pPr>
        <w:adjustRightInd w:val="0"/>
        <w:snapToGrid w:val="0"/>
        <w:spacing w:line="360" w:lineRule="auto"/>
        <w:rPr>
          <w:rFonts w:hint="eastAsia" w:ascii="宋体" w:hAnsi="宋体" w:cs="宋体"/>
          <w:color w:val="auto"/>
          <w:szCs w:val="21"/>
          <w:highlight w:val="none"/>
        </w:rPr>
      </w:pPr>
    </w:p>
    <w:p w14:paraId="2C2261A9">
      <w:pPr>
        <w:adjustRightInd w:val="0"/>
        <w:snapToGrid w:val="0"/>
        <w:spacing w:line="360" w:lineRule="auto"/>
        <w:rPr>
          <w:rFonts w:hint="eastAsia" w:ascii="宋体" w:hAnsi="宋体" w:cs="宋体"/>
          <w:color w:val="auto"/>
          <w:szCs w:val="21"/>
          <w:highlight w:val="none"/>
        </w:rPr>
      </w:pPr>
    </w:p>
    <w:p w14:paraId="172C3D8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 应 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2EF8FE5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39DFE7D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B49A22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0ED9542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A9DEA67">
      <w:pPr>
        <w:pStyle w:val="24"/>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日   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p>
    <w:p w14:paraId="2634DC5D">
      <w:pPr>
        <w:pStyle w:val="24"/>
        <w:snapToGrid w:val="0"/>
        <w:spacing w:line="360" w:lineRule="auto"/>
        <w:rPr>
          <w:rFonts w:hint="eastAsia" w:hAnsi="宋体" w:cs="宋体"/>
          <w:color w:val="auto"/>
          <w:sz w:val="24"/>
          <w:highlight w:val="none"/>
        </w:rPr>
      </w:pPr>
      <w:r>
        <w:rPr>
          <w:rFonts w:hint="eastAsia" w:hAnsi="宋体" w:cs="宋体"/>
          <w:color w:val="auto"/>
          <w:sz w:val="24"/>
          <w:highlight w:val="none"/>
        </w:rPr>
        <mc:AlternateContent>
          <mc:Choice Requires="wps">
            <w:drawing>
              <wp:inline distT="0" distB="0" distL="114300" distR="114300">
                <wp:extent cx="5509260" cy="2281555"/>
                <wp:effectExtent l="4445" t="4445" r="10795" b="9525"/>
                <wp:docPr id="2" name="圆角矩形 2"/>
                <wp:cNvGraphicFramePr/>
                <a:graphic xmlns:a="http://schemas.openxmlformats.org/drawingml/2006/main">
                  <a:graphicData uri="http://schemas.microsoft.com/office/word/2010/wordprocessingShape">
                    <wps:wsp>
                      <wps:cNvSpPr>
                        <a:spLocks noRot="1"/>
                      </wps:cNvSpPr>
                      <wps:spPr>
                        <a:xfrm>
                          <a:off x="0" y="0"/>
                          <a:ext cx="5509260" cy="2281555"/>
                        </a:xfrm>
                        <a:prstGeom prst="roundRect">
                          <a:avLst>
                            <a:gd name="adj" fmla="val 16667"/>
                          </a:avLst>
                        </a:prstGeom>
                        <a:solidFill>
                          <a:srgbClr val="FFFFFF"/>
                        </a:solidFill>
                        <a:ln w="9525" cap="flat" cmpd="sng">
                          <a:solidFill>
                            <a:srgbClr val="000000"/>
                          </a:solidFill>
                          <a:prstDash val="sysDot"/>
                          <a:headEnd type="none" w="med" len="med"/>
                          <a:tailEnd type="none" w="med" len="med"/>
                        </a:ln>
                        <a:effectLst/>
                      </wps:spPr>
                      <wps:txbx>
                        <w:txbxContent>
                          <w:p w14:paraId="03A25A5F">
                            <w:pPr>
                              <w:jc w:val="center"/>
                              <w:rPr>
                                <w:color w:val="0000FF"/>
                              </w:rPr>
                            </w:pPr>
                            <w:r>
                              <w:rPr>
                                <w:rFonts w:hint="eastAsia"/>
                                <w:color w:val="0000FF"/>
                              </w:rPr>
                              <w:t>（</w:t>
                            </w:r>
                            <w:r>
                              <w:rPr>
                                <w:color w:val="0000FF"/>
                              </w:rPr>
                              <w:t>身份证</w:t>
                            </w:r>
                            <w:r>
                              <w:rPr>
                                <w:rFonts w:hint="eastAsia"/>
                                <w:color w:val="0000FF"/>
                              </w:rPr>
                              <w:t>复印件）</w:t>
                            </w:r>
                          </w:p>
                        </w:txbxContent>
                      </wps:txbx>
                      <wps:bodyPr vert="horz" wrap="square" anchor="t" anchorCtr="0" upright="1"/>
                    </wps:wsp>
                  </a:graphicData>
                </a:graphic>
              </wp:inline>
            </w:drawing>
          </mc:Choice>
          <mc:Fallback>
            <w:pict>
              <v:roundrect id="_x0000_s1026" o:spid="_x0000_s1026" o:spt="2" style="height:179.65pt;width:433.8pt;" fillcolor="#FFFFFF" filled="t" stroked="t" coordsize="21600,21600" arcsize="0.166666666666667" o:gfxdata="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0xX/9YAAAAF&#10;AQAADwAAAAAAAAABACAAAAAiAAAAZHJzL2Rvd25yZXYueG1sUEsBAhQAFAAAAAgAh07iQBrpMDBX&#10;AgAAvAQAAA4AAAAAAAAAAQAgAAAAJQEAAGRycy9lMm9Eb2MueG1sUEsFBgAAAAAGAAYAWQEAAO4F&#10;AAAAAA==&#10;">
                <v:fill on="t" focussize="0,0"/>
                <v:stroke color="#000000" joinstyle="round" dashstyle="1 1"/>
                <v:imagedata o:title=""/>
                <o:lock v:ext="edit" rotation="t" aspectratio="f"/>
                <v:textbox>
                  <w:txbxContent>
                    <w:p w14:paraId="03A25A5F">
                      <w:pPr>
                        <w:jc w:val="center"/>
                        <w:rPr>
                          <w:color w:val="0000FF"/>
                        </w:rPr>
                      </w:pPr>
                      <w:r>
                        <w:rPr>
                          <w:rFonts w:hint="eastAsia"/>
                          <w:color w:val="0000FF"/>
                        </w:rPr>
                        <w:t>（</w:t>
                      </w:r>
                      <w:r>
                        <w:rPr>
                          <w:color w:val="0000FF"/>
                        </w:rPr>
                        <w:t>身份证</w:t>
                      </w:r>
                      <w:r>
                        <w:rPr>
                          <w:rFonts w:hint="eastAsia"/>
                          <w:color w:val="0000FF"/>
                        </w:rPr>
                        <w:t>复印件）</w:t>
                      </w:r>
                    </w:p>
                  </w:txbxContent>
                </v:textbox>
                <w10:wrap type="none"/>
                <w10:anchorlock/>
              </v:roundrect>
            </w:pict>
          </mc:Fallback>
        </mc:AlternateContent>
      </w:r>
    </w:p>
    <w:p w14:paraId="43B9A9AF">
      <w:pPr>
        <w:spacing w:line="360"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rPr>
        <w:br w:type="page"/>
      </w:r>
      <w:bookmarkStart w:id="368" w:name="_Toc11926"/>
      <w:bookmarkStart w:id="369" w:name="_Toc31016"/>
      <w:bookmarkStart w:id="370" w:name="_Toc29278"/>
      <w:bookmarkStart w:id="371" w:name="_Toc18274"/>
      <w:bookmarkStart w:id="372" w:name="_Toc10249"/>
      <w:bookmarkStart w:id="373" w:name="_Toc18625"/>
      <w:bookmarkStart w:id="374" w:name="_Toc3866"/>
      <w:bookmarkStart w:id="375" w:name="_Toc6100"/>
      <w:bookmarkStart w:id="376" w:name="_Toc13523"/>
      <w:bookmarkStart w:id="377" w:name="_Toc707"/>
      <w:bookmarkStart w:id="378" w:name="_Toc2037"/>
      <w:bookmarkStart w:id="379" w:name="_Toc30829"/>
      <w:r>
        <w:rPr>
          <w:rFonts w:hint="eastAsia" w:ascii="宋体" w:hAnsi="宋体" w:cs="宋体"/>
          <w:b/>
          <w:color w:val="auto"/>
          <w:sz w:val="24"/>
          <w:highlight w:val="none"/>
        </w:rPr>
        <w:t>（二）供应商资格证明文件</w:t>
      </w:r>
      <w:bookmarkEnd w:id="368"/>
      <w:bookmarkEnd w:id="369"/>
      <w:bookmarkEnd w:id="370"/>
      <w:bookmarkEnd w:id="371"/>
      <w:bookmarkEnd w:id="372"/>
      <w:bookmarkEnd w:id="373"/>
      <w:bookmarkEnd w:id="374"/>
      <w:bookmarkEnd w:id="375"/>
      <w:bookmarkEnd w:id="376"/>
      <w:bookmarkEnd w:id="377"/>
      <w:bookmarkEnd w:id="378"/>
      <w:bookmarkEnd w:id="379"/>
    </w:p>
    <w:p w14:paraId="0AF4EEC7">
      <w:pPr>
        <w:spacing w:line="360" w:lineRule="auto"/>
        <w:jc w:val="center"/>
        <w:outlineLvl w:val="3"/>
        <w:rPr>
          <w:rFonts w:hint="eastAsia" w:ascii="宋体" w:hAnsi="宋体" w:cs="宋体"/>
          <w:color w:val="auto"/>
          <w:sz w:val="24"/>
          <w:highlight w:val="none"/>
        </w:rPr>
      </w:pPr>
      <w:bookmarkStart w:id="380" w:name="_Toc13782"/>
      <w:bookmarkStart w:id="381" w:name="_Toc26005"/>
      <w:r>
        <w:rPr>
          <w:rFonts w:hint="eastAsia" w:ascii="宋体" w:hAnsi="宋体" w:cs="宋体"/>
          <w:b/>
          <w:color w:val="auto"/>
          <w:sz w:val="24"/>
          <w:highlight w:val="none"/>
        </w:rPr>
        <w:t>1.营业执照</w:t>
      </w:r>
      <w:bookmarkEnd w:id="380"/>
      <w:bookmarkEnd w:id="381"/>
    </w:p>
    <w:p w14:paraId="3476C4FF">
      <w:pPr>
        <w:adjustRightInd w:val="0"/>
        <w:spacing w:line="360" w:lineRule="auto"/>
        <w:jc w:val="center"/>
        <w:rPr>
          <w:rFonts w:hint="eastAsia" w:ascii="宋体" w:hAnsi="宋体" w:cs="宋体"/>
          <w:b/>
          <w:color w:val="auto"/>
          <w:sz w:val="24"/>
          <w:highlight w:val="none"/>
        </w:rPr>
      </w:pPr>
      <w:bookmarkStart w:id="382" w:name="_Toc425405508"/>
      <w:bookmarkStart w:id="383" w:name="_Toc436512331"/>
      <w:r>
        <w:rPr>
          <w:rFonts w:hint="eastAsia" w:ascii="宋体" w:hAnsi="宋体" w:cs="宋体"/>
          <w:b/>
          <w:color w:val="auto"/>
          <w:sz w:val="24"/>
          <w:highlight w:val="none"/>
        </w:rPr>
        <w:t>供应商基本信息表</w:t>
      </w:r>
      <w:bookmarkEnd w:id="382"/>
      <w:bookmarkEnd w:id="383"/>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2125"/>
      </w:tblGrid>
      <w:tr w14:paraId="0AD7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4EF9E6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7729" w:type="dxa"/>
            <w:gridSpan w:val="9"/>
            <w:noWrap w:val="0"/>
            <w:vAlign w:val="center"/>
          </w:tcPr>
          <w:p w14:paraId="34C21E8A">
            <w:pPr>
              <w:spacing w:line="360" w:lineRule="auto"/>
              <w:jc w:val="center"/>
              <w:rPr>
                <w:rFonts w:hint="eastAsia" w:ascii="宋体" w:hAnsi="宋体" w:cs="宋体"/>
                <w:color w:val="auto"/>
                <w:szCs w:val="21"/>
                <w:highlight w:val="none"/>
              </w:rPr>
            </w:pPr>
          </w:p>
        </w:tc>
      </w:tr>
      <w:tr w14:paraId="5A90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600F20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389" w:type="dxa"/>
            <w:gridSpan w:val="5"/>
            <w:noWrap w:val="0"/>
            <w:vAlign w:val="center"/>
          </w:tcPr>
          <w:p w14:paraId="5A1193D2">
            <w:pPr>
              <w:spacing w:line="360" w:lineRule="auto"/>
              <w:jc w:val="center"/>
              <w:rPr>
                <w:rFonts w:hint="eastAsia" w:ascii="宋体" w:hAnsi="宋体" w:cs="宋体"/>
                <w:color w:val="auto"/>
                <w:szCs w:val="21"/>
                <w:highlight w:val="none"/>
              </w:rPr>
            </w:pPr>
          </w:p>
        </w:tc>
        <w:tc>
          <w:tcPr>
            <w:tcW w:w="1246" w:type="dxa"/>
            <w:noWrap w:val="0"/>
            <w:vAlign w:val="center"/>
          </w:tcPr>
          <w:p w14:paraId="5AB986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3094" w:type="dxa"/>
            <w:gridSpan w:val="3"/>
            <w:noWrap w:val="0"/>
            <w:vAlign w:val="center"/>
          </w:tcPr>
          <w:p w14:paraId="4D232278">
            <w:pPr>
              <w:spacing w:line="360" w:lineRule="auto"/>
              <w:jc w:val="center"/>
              <w:rPr>
                <w:rFonts w:hint="eastAsia" w:ascii="宋体" w:hAnsi="宋体" w:cs="宋体"/>
                <w:color w:val="auto"/>
                <w:szCs w:val="21"/>
                <w:highlight w:val="none"/>
              </w:rPr>
            </w:pPr>
          </w:p>
        </w:tc>
      </w:tr>
      <w:tr w14:paraId="1B4E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5A2A24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noWrap w:val="0"/>
            <w:vAlign w:val="center"/>
          </w:tcPr>
          <w:p w14:paraId="0EE912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492" w:type="dxa"/>
            <w:gridSpan w:val="4"/>
            <w:noWrap w:val="0"/>
            <w:vAlign w:val="center"/>
          </w:tcPr>
          <w:p w14:paraId="26DE9BE7">
            <w:pPr>
              <w:spacing w:line="360" w:lineRule="auto"/>
              <w:jc w:val="center"/>
              <w:rPr>
                <w:rFonts w:hint="eastAsia" w:ascii="宋体" w:hAnsi="宋体" w:cs="宋体"/>
                <w:color w:val="auto"/>
                <w:szCs w:val="21"/>
                <w:highlight w:val="none"/>
              </w:rPr>
            </w:pPr>
          </w:p>
        </w:tc>
        <w:tc>
          <w:tcPr>
            <w:tcW w:w="1246" w:type="dxa"/>
            <w:noWrap w:val="0"/>
            <w:vAlign w:val="center"/>
          </w:tcPr>
          <w:p w14:paraId="277C30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3094" w:type="dxa"/>
            <w:gridSpan w:val="3"/>
            <w:noWrap w:val="0"/>
            <w:vAlign w:val="center"/>
          </w:tcPr>
          <w:p w14:paraId="7CEB99E0">
            <w:pPr>
              <w:spacing w:line="360" w:lineRule="auto"/>
              <w:jc w:val="center"/>
              <w:rPr>
                <w:rFonts w:hint="eastAsia" w:ascii="宋体" w:hAnsi="宋体" w:cs="宋体"/>
                <w:color w:val="auto"/>
                <w:szCs w:val="21"/>
                <w:highlight w:val="none"/>
              </w:rPr>
            </w:pPr>
          </w:p>
        </w:tc>
      </w:tr>
      <w:tr w14:paraId="5CA9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4D5831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noWrap w:val="0"/>
            <w:vAlign w:val="center"/>
          </w:tcPr>
          <w:p w14:paraId="68202A8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0D8CD5DB">
            <w:pPr>
              <w:spacing w:line="360" w:lineRule="auto"/>
              <w:jc w:val="center"/>
              <w:rPr>
                <w:rFonts w:hint="eastAsia" w:ascii="宋体" w:hAnsi="宋体" w:cs="宋体"/>
                <w:color w:val="auto"/>
                <w:szCs w:val="21"/>
                <w:highlight w:val="none"/>
              </w:rPr>
            </w:pPr>
          </w:p>
        </w:tc>
        <w:tc>
          <w:tcPr>
            <w:tcW w:w="1276" w:type="dxa"/>
            <w:gridSpan w:val="2"/>
            <w:noWrap w:val="0"/>
            <w:vAlign w:val="center"/>
          </w:tcPr>
          <w:p w14:paraId="00B8F97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noWrap w:val="0"/>
            <w:vAlign w:val="center"/>
          </w:tcPr>
          <w:p w14:paraId="1C01EC3A">
            <w:pPr>
              <w:spacing w:line="360" w:lineRule="auto"/>
              <w:jc w:val="center"/>
              <w:rPr>
                <w:rFonts w:hint="eastAsia" w:ascii="宋体" w:hAnsi="宋体" w:cs="宋体"/>
                <w:color w:val="auto"/>
                <w:szCs w:val="21"/>
                <w:highlight w:val="none"/>
              </w:rPr>
            </w:pPr>
          </w:p>
        </w:tc>
        <w:tc>
          <w:tcPr>
            <w:tcW w:w="709" w:type="dxa"/>
            <w:noWrap w:val="0"/>
            <w:vAlign w:val="center"/>
          </w:tcPr>
          <w:p w14:paraId="07BFC4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125" w:type="dxa"/>
            <w:noWrap w:val="0"/>
            <w:vAlign w:val="center"/>
          </w:tcPr>
          <w:p w14:paraId="20DD9BBE">
            <w:pPr>
              <w:spacing w:line="360" w:lineRule="auto"/>
              <w:jc w:val="center"/>
              <w:rPr>
                <w:rFonts w:hint="eastAsia" w:ascii="宋体" w:hAnsi="宋体" w:cs="宋体"/>
                <w:color w:val="auto"/>
                <w:szCs w:val="21"/>
                <w:highlight w:val="none"/>
              </w:rPr>
            </w:pPr>
          </w:p>
        </w:tc>
      </w:tr>
      <w:tr w14:paraId="792D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757DB8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97" w:type="dxa"/>
            <w:noWrap w:val="0"/>
            <w:vAlign w:val="center"/>
          </w:tcPr>
          <w:p w14:paraId="54E07D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1" w:type="dxa"/>
            <w:noWrap w:val="0"/>
            <w:vAlign w:val="center"/>
          </w:tcPr>
          <w:p w14:paraId="79B47192">
            <w:pPr>
              <w:spacing w:line="360" w:lineRule="auto"/>
              <w:jc w:val="center"/>
              <w:rPr>
                <w:rFonts w:hint="eastAsia" w:ascii="宋体" w:hAnsi="宋体" w:cs="宋体"/>
                <w:color w:val="auto"/>
                <w:szCs w:val="21"/>
                <w:highlight w:val="none"/>
              </w:rPr>
            </w:pPr>
          </w:p>
        </w:tc>
        <w:tc>
          <w:tcPr>
            <w:tcW w:w="1276" w:type="dxa"/>
            <w:gridSpan w:val="2"/>
            <w:noWrap w:val="0"/>
            <w:vAlign w:val="center"/>
          </w:tcPr>
          <w:p w14:paraId="2EBDED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noWrap w:val="0"/>
            <w:vAlign w:val="center"/>
          </w:tcPr>
          <w:p w14:paraId="01369671">
            <w:pPr>
              <w:spacing w:line="360" w:lineRule="auto"/>
              <w:jc w:val="center"/>
              <w:rPr>
                <w:rFonts w:hint="eastAsia" w:ascii="宋体" w:hAnsi="宋体" w:cs="宋体"/>
                <w:color w:val="auto"/>
                <w:szCs w:val="21"/>
                <w:highlight w:val="none"/>
              </w:rPr>
            </w:pPr>
          </w:p>
        </w:tc>
        <w:tc>
          <w:tcPr>
            <w:tcW w:w="709" w:type="dxa"/>
            <w:noWrap w:val="0"/>
            <w:vAlign w:val="center"/>
          </w:tcPr>
          <w:p w14:paraId="18EEEAC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125" w:type="dxa"/>
            <w:noWrap w:val="0"/>
            <w:vAlign w:val="center"/>
          </w:tcPr>
          <w:p w14:paraId="3A035226">
            <w:pPr>
              <w:spacing w:line="360" w:lineRule="auto"/>
              <w:jc w:val="center"/>
              <w:rPr>
                <w:rFonts w:hint="eastAsia" w:ascii="宋体" w:hAnsi="宋体" w:cs="宋体"/>
                <w:color w:val="auto"/>
                <w:szCs w:val="21"/>
                <w:highlight w:val="none"/>
              </w:rPr>
            </w:pPr>
          </w:p>
        </w:tc>
      </w:tr>
      <w:tr w14:paraId="73B0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59D072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18" w:type="dxa"/>
            <w:gridSpan w:val="2"/>
            <w:noWrap w:val="0"/>
            <w:vAlign w:val="center"/>
          </w:tcPr>
          <w:p w14:paraId="5318B0FE">
            <w:pPr>
              <w:spacing w:line="360" w:lineRule="auto"/>
              <w:jc w:val="center"/>
              <w:rPr>
                <w:rFonts w:hint="eastAsia" w:ascii="宋体" w:hAnsi="宋体" w:cs="宋体"/>
                <w:color w:val="auto"/>
                <w:szCs w:val="21"/>
                <w:highlight w:val="none"/>
              </w:rPr>
            </w:pPr>
          </w:p>
        </w:tc>
        <w:tc>
          <w:tcPr>
            <w:tcW w:w="5811" w:type="dxa"/>
            <w:gridSpan w:val="7"/>
            <w:noWrap w:val="0"/>
            <w:vAlign w:val="center"/>
          </w:tcPr>
          <w:p w14:paraId="0A665E3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1147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3E93AE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18" w:type="dxa"/>
            <w:gridSpan w:val="2"/>
            <w:noWrap w:val="0"/>
            <w:vAlign w:val="center"/>
          </w:tcPr>
          <w:p w14:paraId="1376EA31">
            <w:pPr>
              <w:spacing w:line="360" w:lineRule="auto"/>
              <w:jc w:val="center"/>
              <w:rPr>
                <w:rFonts w:hint="eastAsia" w:ascii="宋体" w:hAnsi="宋体" w:cs="宋体"/>
                <w:color w:val="auto"/>
                <w:szCs w:val="21"/>
                <w:highlight w:val="none"/>
              </w:rPr>
            </w:pPr>
          </w:p>
        </w:tc>
        <w:tc>
          <w:tcPr>
            <w:tcW w:w="993" w:type="dxa"/>
            <w:vMerge w:val="restart"/>
            <w:noWrap w:val="0"/>
            <w:vAlign w:val="center"/>
          </w:tcPr>
          <w:p w14:paraId="5A97C8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984" w:type="dxa"/>
            <w:gridSpan w:val="4"/>
            <w:noWrap w:val="0"/>
            <w:vAlign w:val="center"/>
          </w:tcPr>
          <w:p w14:paraId="757F1D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2834" w:type="dxa"/>
            <w:gridSpan w:val="2"/>
            <w:noWrap w:val="0"/>
            <w:vAlign w:val="center"/>
          </w:tcPr>
          <w:p w14:paraId="033B0D14">
            <w:pPr>
              <w:spacing w:line="360" w:lineRule="auto"/>
              <w:jc w:val="center"/>
              <w:rPr>
                <w:rFonts w:hint="eastAsia" w:ascii="宋体" w:hAnsi="宋体" w:cs="宋体"/>
                <w:color w:val="auto"/>
                <w:szCs w:val="21"/>
                <w:highlight w:val="none"/>
              </w:rPr>
            </w:pPr>
          </w:p>
        </w:tc>
      </w:tr>
      <w:tr w14:paraId="074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1783DD3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1918" w:type="dxa"/>
            <w:gridSpan w:val="2"/>
            <w:noWrap w:val="0"/>
            <w:vAlign w:val="center"/>
          </w:tcPr>
          <w:p w14:paraId="38FBFF68">
            <w:pPr>
              <w:spacing w:line="360" w:lineRule="auto"/>
              <w:jc w:val="center"/>
              <w:rPr>
                <w:rFonts w:hint="eastAsia" w:ascii="宋体" w:hAnsi="宋体" w:cs="宋体"/>
                <w:color w:val="auto"/>
                <w:szCs w:val="21"/>
                <w:highlight w:val="none"/>
              </w:rPr>
            </w:pPr>
          </w:p>
        </w:tc>
        <w:tc>
          <w:tcPr>
            <w:tcW w:w="993" w:type="dxa"/>
            <w:vMerge w:val="continue"/>
            <w:noWrap w:val="0"/>
            <w:vAlign w:val="center"/>
          </w:tcPr>
          <w:p w14:paraId="743BBAC6">
            <w:pPr>
              <w:spacing w:line="360" w:lineRule="auto"/>
              <w:jc w:val="center"/>
              <w:rPr>
                <w:rFonts w:hint="eastAsia" w:ascii="宋体" w:hAnsi="宋体" w:cs="宋体"/>
                <w:color w:val="auto"/>
                <w:szCs w:val="21"/>
                <w:highlight w:val="none"/>
              </w:rPr>
            </w:pPr>
          </w:p>
        </w:tc>
        <w:tc>
          <w:tcPr>
            <w:tcW w:w="1984" w:type="dxa"/>
            <w:gridSpan w:val="4"/>
            <w:noWrap w:val="0"/>
            <w:vAlign w:val="center"/>
          </w:tcPr>
          <w:p w14:paraId="4A1BAD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834" w:type="dxa"/>
            <w:gridSpan w:val="2"/>
            <w:noWrap w:val="0"/>
            <w:vAlign w:val="center"/>
          </w:tcPr>
          <w:p w14:paraId="62C2A0AE">
            <w:pPr>
              <w:spacing w:line="360" w:lineRule="auto"/>
              <w:jc w:val="center"/>
              <w:rPr>
                <w:rFonts w:hint="eastAsia" w:ascii="宋体" w:hAnsi="宋体" w:cs="宋体"/>
                <w:color w:val="auto"/>
                <w:szCs w:val="21"/>
                <w:highlight w:val="none"/>
              </w:rPr>
            </w:pPr>
          </w:p>
        </w:tc>
      </w:tr>
      <w:tr w14:paraId="546F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4105FA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18" w:type="dxa"/>
            <w:gridSpan w:val="2"/>
            <w:noWrap w:val="0"/>
            <w:vAlign w:val="center"/>
          </w:tcPr>
          <w:p w14:paraId="7D5B9B3F">
            <w:pPr>
              <w:spacing w:line="360" w:lineRule="auto"/>
              <w:jc w:val="center"/>
              <w:rPr>
                <w:rFonts w:hint="eastAsia" w:ascii="宋体" w:hAnsi="宋体" w:cs="宋体"/>
                <w:color w:val="auto"/>
                <w:szCs w:val="21"/>
                <w:highlight w:val="none"/>
              </w:rPr>
            </w:pPr>
          </w:p>
        </w:tc>
        <w:tc>
          <w:tcPr>
            <w:tcW w:w="993" w:type="dxa"/>
            <w:vMerge w:val="continue"/>
            <w:noWrap w:val="0"/>
            <w:vAlign w:val="center"/>
          </w:tcPr>
          <w:p w14:paraId="102CDAE4">
            <w:pPr>
              <w:spacing w:line="360" w:lineRule="auto"/>
              <w:jc w:val="center"/>
              <w:rPr>
                <w:rFonts w:hint="eastAsia" w:ascii="宋体" w:hAnsi="宋体" w:cs="宋体"/>
                <w:color w:val="auto"/>
                <w:szCs w:val="21"/>
                <w:highlight w:val="none"/>
              </w:rPr>
            </w:pPr>
          </w:p>
        </w:tc>
        <w:tc>
          <w:tcPr>
            <w:tcW w:w="1984" w:type="dxa"/>
            <w:gridSpan w:val="4"/>
            <w:noWrap w:val="0"/>
            <w:vAlign w:val="center"/>
          </w:tcPr>
          <w:p w14:paraId="5BFD21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834" w:type="dxa"/>
            <w:gridSpan w:val="2"/>
            <w:noWrap w:val="0"/>
            <w:vAlign w:val="center"/>
          </w:tcPr>
          <w:p w14:paraId="260A5B98">
            <w:pPr>
              <w:spacing w:line="360" w:lineRule="auto"/>
              <w:jc w:val="center"/>
              <w:rPr>
                <w:rFonts w:hint="eastAsia" w:ascii="宋体" w:hAnsi="宋体" w:cs="宋体"/>
                <w:color w:val="auto"/>
                <w:szCs w:val="21"/>
                <w:highlight w:val="none"/>
              </w:rPr>
            </w:pPr>
          </w:p>
        </w:tc>
      </w:tr>
      <w:tr w14:paraId="213E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3ED7B0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18" w:type="dxa"/>
            <w:gridSpan w:val="2"/>
            <w:noWrap w:val="0"/>
            <w:vAlign w:val="center"/>
          </w:tcPr>
          <w:p w14:paraId="2E520C20">
            <w:pPr>
              <w:spacing w:line="360" w:lineRule="auto"/>
              <w:jc w:val="center"/>
              <w:rPr>
                <w:rFonts w:hint="eastAsia" w:ascii="宋体" w:hAnsi="宋体" w:cs="宋体"/>
                <w:color w:val="auto"/>
                <w:szCs w:val="21"/>
                <w:highlight w:val="none"/>
              </w:rPr>
            </w:pPr>
          </w:p>
        </w:tc>
        <w:tc>
          <w:tcPr>
            <w:tcW w:w="993" w:type="dxa"/>
            <w:vMerge w:val="continue"/>
            <w:noWrap w:val="0"/>
            <w:vAlign w:val="center"/>
          </w:tcPr>
          <w:p w14:paraId="0F127EEF">
            <w:pPr>
              <w:spacing w:line="360" w:lineRule="auto"/>
              <w:jc w:val="center"/>
              <w:rPr>
                <w:rFonts w:hint="eastAsia" w:ascii="宋体" w:hAnsi="宋体" w:cs="宋体"/>
                <w:color w:val="auto"/>
                <w:szCs w:val="21"/>
                <w:highlight w:val="none"/>
              </w:rPr>
            </w:pPr>
          </w:p>
        </w:tc>
        <w:tc>
          <w:tcPr>
            <w:tcW w:w="1984" w:type="dxa"/>
            <w:gridSpan w:val="4"/>
            <w:noWrap w:val="0"/>
            <w:vAlign w:val="center"/>
          </w:tcPr>
          <w:p w14:paraId="605E747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834" w:type="dxa"/>
            <w:gridSpan w:val="2"/>
            <w:noWrap w:val="0"/>
            <w:vAlign w:val="center"/>
          </w:tcPr>
          <w:p w14:paraId="68096C40">
            <w:pPr>
              <w:spacing w:line="360" w:lineRule="auto"/>
              <w:jc w:val="center"/>
              <w:rPr>
                <w:rFonts w:hint="eastAsia" w:ascii="宋体" w:hAnsi="宋体" w:cs="宋体"/>
                <w:color w:val="auto"/>
                <w:szCs w:val="21"/>
                <w:highlight w:val="none"/>
              </w:rPr>
            </w:pPr>
          </w:p>
        </w:tc>
      </w:tr>
      <w:tr w14:paraId="41F3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1412C9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18" w:type="dxa"/>
            <w:gridSpan w:val="2"/>
            <w:noWrap w:val="0"/>
            <w:vAlign w:val="center"/>
          </w:tcPr>
          <w:p w14:paraId="66F07D27">
            <w:pPr>
              <w:spacing w:line="360" w:lineRule="auto"/>
              <w:jc w:val="center"/>
              <w:rPr>
                <w:rFonts w:hint="eastAsia" w:ascii="宋体" w:hAnsi="宋体" w:cs="宋体"/>
                <w:color w:val="auto"/>
                <w:szCs w:val="21"/>
                <w:highlight w:val="none"/>
              </w:rPr>
            </w:pPr>
          </w:p>
        </w:tc>
        <w:tc>
          <w:tcPr>
            <w:tcW w:w="993" w:type="dxa"/>
            <w:vMerge w:val="continue"/>
            <w:noWrap w:val="0"/>
            <w:vAlign w:val="center"/>
          </w:tcPr>
          <w:p w14:paraId="217583ED">
            <w:pPr>
              <w:spacing w:line="360" w:lineRule="auto"/>
              <w:jc w:val="center"/>
              <w:rPr>
                <w:rFonts w:hint="eastAsia" w:ascii="宋体" w:hAnsi="宋体" w:cs="宋体"/>
                <w:color w:val="auto"/>
                <w:szCs w:val="21"/>
                <w:highlight w:val="none"/>
              </w:rPr>
            </w:pPr>
          </w:p>
        </w:tc>
        <w:tc>
          <w:tcPr>
            <w:tcW w:w="1984" w:type="dxa"/>
            <w:gridSpan w:val="4"/>
            <w:noWrap w:val="0"/>
            <w:vAlign w:val="center"/>
          </w:tcPr>
          <w:p w14:paraId="240542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  工</w:t>
            </w:r>
          </w:p>
        </w:tc>
        <w:tc>
          <w:tcPr>
            <w:tcW w:w="2834" w:type="dxa"/>
            <w:gridSpan w:val="2"/>
            <w:noWrap w:val="0"/>
            <w:vAlign w:val="center"/>
          </w:tcPr>
          <w:p w14:paraId="01B87D5E">
            <w:pPr>
              <w:spacing w:line="360" w:lineRule="auto"/>
              <w:jc w:val="center"/>
              <w:rPr>
                <w:rFonts w:hint="eastAsia" w:ascii="宋体" w:hAnsi="宋体" w:cs="宋体"/>
                <w:color w:val="auto"/>
                <w:szCs w:val="21"/>
                <w:highlight w:val="none"/>
              </w:rPr>
            </w:pPr>
          </w:p>
        </w:tc>
      </w:tr>
      <w:tr w14:paraId="0391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1485" w:type="dxa"/>
            <w:noWrap w:val="0"/>
            <w:vAlign w:val="center"/>
          </w:tcPr>
          <w:p w14:paraId="3EBC1C3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7729" w:type="dxa"/>
            <w:gridSpan w:val="9"/>
            <w:noWrap w:val="0"/>
            <w:vAlign w:val="center"/>
          </w:tcPr>
          <w:p w14:paraId="14A2200F">
            <w:pPr>
              <w:spacing w:line="360" w:lineRule="auto"/>
              <w:jc w:val="center"/>
              <w:rPr>
                <w:rFonts w:hint="eastAsia" w:ascii="宋体" w:hAnsi="宋体" w:cs="宋体"/>
                <w:color w:val="auto"/>
                <w:szCs w:val="21"/>
                <w:highlight w:val="none"/>
              </w:rPr>
            </w:pPr>
          </w:p>
        </w:tc>
      </w:tr>
      <w:tr w14:paraId="4903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7072423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729" w:type="dxa"/>
            <w:gridSpan w:val="9"/>
            <w:noWrap w:val="0"/>
            <w:vAlign w:val="center"/>
          </w:tcPr>
          <w:p w14:paraId="07AE3121">
            <w:pPr>
              <w:spacing w:line="360" w:lineRule="auto"/>
              <w:jc w:val="center"/>
              <w:rPr>
                <w:rFonts w:hint="eastAsia" w:ascii="宋体" w:hAnsi="宋体" w:cs="宋体"/>
                <w:color w:val="auto"/>
                <w:szCs w:val="21"/>
                <w:highlight w:val="none"/>
              </w:rPr>
            </w:pPr>
          </w:p>
        </w:tc>
      </w:tr>
    </w:tbl>
    <w:p w14:paraId="76A8018F">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附营业执照扫描件。</w:t>
      </w:r>
      <w:bookmarkStart w:id="384" w:name="_Toc5808"/>
      <w:bookmarkStart w:id="385" w:name="_Toc30312"/>
    </w:p>
    <w:p w14:paraId="2AA63704">
      <w:pPr>
        <w:spacing w:line="360" w:lineRule="auto"/>
        <w:ind w:firstLine="482" w:firstLineChars="200"/>
        <w:jc w:val="center"/>
        <w:outlineLvl w:val="3"/>
        <w:rPr>
          <w:rFonts w:hint="eastAsia" w:ascii="宋体" w:hAnsi="宋体" w:cs="宋体"/>
          <w:b/>
          <w:color w:val="auto"/>
          <w:sz w:val="24"/>
          <w:highlight w:val="none"/>
        </w:rPr>
      </w:pPr>
      <w:r>
        <w:rPr>
          <w:rFonts w:hint="eastAsia" w:ascii="宋体" w:hAnsi="宋体" w:cs="宋体"/>
          <w:b/>
          <w:bCs/>
          <w:color w:val="auto"/>
          <w:sz w:val="24"/>
          <w:highlight w:val="none"/>
        </w:rPr>
        <w:br w:type="page"/>
      </w:r>
      <w:bookmarkEnd w:id="384"/>
      <w:bookmarkEnd w:id="385"/>
      <w:bookmarkStart w:id="386" w:name="_Toc16031"/>
      <w:bookmarkStart w:id="387" w:name="_Toc13196"/>
      <w:r>
        <w:rPr>
          <w:rFonts w:hint="eastAsia" w:ascii="宋体" w:hAnsi="宋体" w:cs="宋体"/>
          <w:b/>
          <w:color w:val="auto"/>
          <w:sz w:val="24"/>
          <w:highlight w:val="none"/>
        </w:rPr>
        <w:t>2.资质要求</w:t>
      </w:r>
    </w:p>
    <w:p w14:paraId="1435E076">
      <w:pPr>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供应商应当具备纳税人资格</w:t>
      </w:r>
      <w:r>
        <w:rPr>
          <w:rFonts w:hint="eastAsia" w:ascii="宋体" w:hAnsi="宋体" w:cs="宋体"/>
          <w:color w:val="000000"/>
          <w:szCs w:val="21"/>
          <w:lang w:eastAsia="zh-CN"/>
        </w:rPr>
        <w:t>。</w:t>
      </w:r>
      <w:r>
        <w:rPr>
          <w:rFonts w:hint="eastAsia" w:ascii="宋体" w:hAnsi="宋体" w:cs="宋体"/>
          <w:color w:val="000000"/>
          <w:szCs w:val="21"/>
        </w:rPr>
        <w:t>提供相关部门开具的纳税人证明材料或发票扫描件。</w:t>
      </w:r>
    </w:p>
    <w:p w14:paraId="00492861">
      <w:pPr>
        <w:spacing w:line="360" w:lineRule="auto"/>
        <w:ind w:firstLine="420" w:firstLineChars="200"/>
        <w:jc w:val="left"/>
        <w:rPr>
          <w:rFonts w:hint="eastAsia" w:ascii="宋体" w:hAnsi="宋体" w:cs="宋体"/>
          <w:b w:val="0"/>
          <w:bCs w:val="0"/>
          <w:color w:val="auto"/>
          <w:szCs w:val="21"/>
          <w:highlight w:val="none"/>
        </w:rPr>
      </w:pPr>
    </w:p>
    <w:p w14:paraId="46613309">
      <w:pPr>
        <w:spacing w:line="360" w:lineRule="auto"/>
        <w:ind w:firstLine="480" w:firstLineChars="200"/>
        <w:jc w:val="center"/>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w:t>
      </w:r>
      <w:bookmarkEnd w:id="386"/>
      <w:bookmarkEnd w:id="387"/>
      <w:r>
        <w:rPr>
          <w:rFonts w:hint="eastAsia" w:ascii="宋体" w:hAnsi="宋体" w:cs="宋体"/>
          <w:b/>
          <w:color w:val="auto"/>
          <w:sz w:val="24"/>
          <w:highlight w:val="none"/>
        </w:rPr>
        <w:t>信誉要求</w:t>
      </w:r>
    </w:p>
    <w:p w14:paraId="1658BEBF">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(1)未被“中国执行信息公开网(http://zxgk.court.gov.cn/shixin/)”网站列入“失信被执行人”（提供相关截图）;</w:t>
      </w:r>
    </w:p>
    <w:p w14:paraId="01EB0E64">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(2)未被“信用中国(https://www.creditchina.gov.cn/)”网站列入“重大税收违法失信主体名单”（提供相关截图）；</w:t>
      </w:r>
    </w:p>
    <w:p w14:paraId="25897FA1">
      <w:pPr>
        <w:pStyle w:val="47"/>
        <w:spacing w:line="360" w:lineRule="auto"/>
        <w:ind w:left="0"/>
        <w:rPr>
          <w:rFonts w:hint="eastAsia" w:hAnsi="宋体" w:eastAsia="宋体" w:cs="宋体"/>
          <w:color w:val="auto"/>
          <w:spacing w:val="0"/>
          <w:highlight w:val="none"/>
        </w:rPr>
      </w:pPr>
      <w:r>
        <w:rPr>
          <w:rFonts w:hint="eastAsia" w:hAnsi="宋体" w:eastAsia="宋体" w:cs="宋体"/>
          <w:color w:val="auto"/>
          <w:spacing w:val="0"/>
          <w:highlight w:val="none"/>
        </w:rPr>
        <w:t>注:由</w:t>
      </w:r>
      <w:r>
        <w:rPr>
          <w:rFonts w:hint="eastAsia" w:hAnsi="宋体" w:eastAsia="宋体" w:cs="宋体"/>
          <w:color w:val="auto"/>
          <w:spacing w:val="0"/>
          <w:highlight w:val="none"/>
          <w:lang w:val="en-US" w:eastAsia="zh-CN"/>
        </w:rPr>
        <w:t>采购</w:t>
      </w:r>
      <w:r>
        <w:rPr>
          <w:rFonts w:hint="eastAsia" w:hAnsi="宋体" w:eastAsia="宋体" w:cs="宋体"/>
          <w:color w:val="auto"/>
          <w:spacing w:val="0"/>
          <w:highlight w:val="none"/>
        </w:rPr>
        <w:t>人或代理机构在开标截止时间后查询，并将查询结果交由</w:t>
      </w:r>
      <w:r>
        <w:rPr>
          <w:rFonts w:hint="eastAsia" w:hAnsi="宋体" w:eastAsia="宋体" w:cs="宋体"/>
          <w:color w:val="auto"/>
          <w:spacing w:val="0"/>
          <w:highlight w:val="none"/>
          <w:lang w:val="en-US" w:eastAsia="zh-CN"/>
        </w:rPr>
        <w:t>谈判小组</w:t>
      </w:r>
      <w:r>
        <w:rPr>
          <w:rFonts w:hint="eastAsia" w:hAnsi="宋体" w:eastAsia="宋体" w:cs="宋体"/>
          <w:color w:val="auto"/>
          <w:spacing w:val="0"/>
          <w:highlight w:val="none"/>
        </w:rPr>
        <w:t>审查。</w:t>
      </w:r>
    </w:p>
    <w:p w14:paraId="7FC2625B">
      <w:pPr>
        <w:spacing w:line="360" w:lineRule="auto"/>
        <w:jc w:val="center"/>
        <w:outlineLvl w:val="3"/>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.财务要求</w:t>
      </w:r>
    </w:p>
    <w:p w14:paraId="57D95E7F">
      <w:pPr>
        <w:pStyle w:val="15"/>
        <w:spacing w:after="120" w:line="360" w:lineRule="auto"/>
        <w:rPr>
          <w:rFonts w:hint="eastAsia"/>
          <w:color w:val="auto"/>
          <w:szCs w:val="21"/>
          <w:highlight w:val="none"/>
        </w:rPr>
      </w:pPr>
      <w:r>
        <w:rPr>
          <w:rFonts w:hint="eastAsia"/>
          <w:color w:val="auto"/>
          <w:szCs w:val="21"/>
          <w:highlight w:val="none"/>
        </w:rPr>
        <w:t>1.开户银行情况</w:t>
      </w:r>
    </w:p>
    <w:tbl>
      <w:tblPr>
        <w:tblStyle w:val="48"/>
        <w:tblW w:w="0" w:type="auto"/>
        <w:tblInd w:w="0" w:type="dxa"/>
        <w:tblLayout w:type="fixed"/>
        <w:tblCellMar>
          <w:top w:w="0" w:type="dxa"/>
          <w:left w:w="28" w:type="dxa"/>
          <w:bottom w:w="0" w:type="dxa"/>
          <w:right w:w="28" w:type="dxa"/>
        </w:tblCellMar>
      </w:tblPr>
      <w:tblGrid>
        <w:gridCol w:w="1454"/>
        <w:gridCol w:w="3313"/>
        <w:gridCol w:w="4812"/>
      </w:tblGrid>
      <w:tr w14:paraId="3614D651">
        <w:tblPrEx>
          <w:tblCellMar>
            <w:top w:w="0" w:type="dxa"/>
            <w:left w:w="28" w:type="dxa"/>
            <w:bottom w:w="0" w:type="dxa"/>
            <w:right w:w="28" w:type="dxa"/>
          </w:tblCellMar>
        </w:tblPrEx>
        <w:trPr>
          <w:cantSplit/>
          <w:trHeight w:val="380" w:hRule="atLeast"/>
        </w:trPr>
        <w:tc>
          <w:tcPr>
            <w:tcW w:w="1454" w:type="dxa"/>
            <w:vMerge w:val="restart"/>
            <w:tcBorders>
              <w:top w:val="single" w:color="auto" w:sz="6" w:space="0"/>
              <w:left w:val="single" w:color="auto" w:sz="6" w:space="0"/>
              <w:bottom w:val="single" w:color="auto" w:sz="6" w:space="0"/>
              <w:right w:val="single" w:color="auto" w:sz="6" w:space="0"/>
            </w:tcBorders>
            <w:noWrap w:val="0"/>
            <w:vAlign w:val="center"/>
          </w:tcPr>
          <w:p w14:paraId="6D43F6C4">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开户银行</w:t>
            </w:r>
          </w:p>
        </w:tc>
        <w:tc>
          <w:tcPr>
            <w:tcW w:w="8125" w:type="dxa"/>
            <w:gridSpan w:val="2"/>
            <w:tcBorders>
              <w:top w:val="single" w:color="auto" w:sz="6" w:space="0"/>
              <w:left w:val="nil"/>
              <w:bottom w:val="single" w:color="auto" w:sz="6" w:space="0"/>
              <w:right w:val="single" w:color="auto" w:sz="6" w:space="0"/>
            </w:tcBorders>
            <w:noWrap w:val="0"/>
            <w:vAlign w:val="center"/>
          </w:tcPr>
          <w:p w14:paraId="0D47D854">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名称：</w:t>
            </w:r>
          </w:p>
        </w:tc>
      </w:tr>
      <w:tr w14:paraId="1011C1F5">
        <w:tblPrEx>
          <w:tblCellMar>
            <w:top w:w="0" w:type="dxa"/>
            <w:left w:w="28" w:type="dxa"/>
            <w:bottom w:w="0" w:type="dxa"/>
            <w:right w:w="28" w:type="dxa"/>
          </w:tblCellMar>
        </w:tblPrEx>
        <w:trPr>
          <w:cantSplit/>
          <w:trHeight w:val="380" w:hRule="atLeast"/>
        </w:trPr>
        <w:tc>
          <w:tcPr>
            <w:tcW w:w="1454" w:type="dxa"/>
            <w:vMerge w:val="continue"/>
            <w:tcBorders>
              <w:top w:val="single" w:color="auto" w:sz="6" w:space="0"/>
              <w:left w:val="single" w:color="auto" w:sz="6" w:space="0"/>
              <w:bottom w:val="single" w:color="auto" w:sz="6" w:space="0"/>
              <w:right w:val="single" w:color="auto" w:sz="6" w:space="0"/>
            </w:tcBorders>
            <w:noWrap w:val="0"/>
            <w:vAlign w:val="center"/>
          </w:tcPr>
          <w:p w14:paraId="2D25976B">
            <w:pPr>
              <w:widowControl/>
              <w:spacing w:line="360" w:lineRule="auto"/>
              <w:jc w:val="left"/>
              <w:rPr>
                <w:rFonts w:hint="eastAsia" w:ascii="宋体" w:hAnsi="宋体" w:cs="宋体"/>
                <w:color w:val="auto"/>
                <w:szCs w:val="21"/>
                <w:highlight w:val="none"/>
              </w:rPr>
            </w:pPr>
          </w:p>
        </w:tc>
        <w:tc>
          <w:tcPr>
            <w:tcW w:w="8125" w:type="dxa"/>
            <w:gridSpan w:val="2"/>
            <w:tcBorders>
              <w:top w:val="single" w:color="auto" w:sz="6" w:space="0"/>
              <w:left w:val="nil"/>
              <w:bottom w:val="single" w:color="auto" w:sz="6" w:space="0"/>
              <w:right w:val="single" w:color="auto" w:sz="6" w:space="0"/>
            </w:tcBorders>
            <w:noWrap w:val="0"/>
            <w:vAlign w:val="center"/>
          </w:tcPr>
          <w:p w14:paraId="7BE2A2A7">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地址：</w:t>
            </w:r>
          </w:p>
        </w:tc>
      </w:tr>
      <w:tr w14:paraId="5F17A353">
        <w:tblPrEx>
          <w:tblCellMar>
            <w:top w:w="0" w:type="dxa"/>
            <w:left w:w="28" w:type="dxa"/>
            <w:bottom w:w="0" w:type="dxa"/>
            <w:right w:w="28" w:type="dxa"/>
          </w:tblCellMar>
        </w:tblPrEx>
        <w:trPr>
          <w:cantSplit/>
          <w:trHeight w:val="380" w:hRule="atLeast"/>
        </w:trPr>
        <w:tc>
          <w:tcPr>
            <w:tcW w:w="1454" w:type="dxa"/>
            <w:vMerge w:val="continue"/>
            <w:tcBorders>
              <w:top w:val="single" w:color="auto" w:sz="6" w:space="0"/>
              <w:left w:val="single" w:color="auto" w:sz="6" w:space="0"/>
              <w:bottom w:val="single" w:color="auto" w:sz="6" w:space="0"/>
              <w:right w:val="single" w:color="auto" w:sz="6" w:space="0"/>
            </w:tcBorders>
            <w:noWrap w:val="0"/>
            <w:vAlign w:val="center"/>
          </w:tcPr>
          <w:p w14:paraId="43C2DCDF">
            <w:pPr>
              <w:widowControl/>
              <w:spacing w:line="360" w:lineRule="auto"/>
              <w:jc w:val="left"/>
              <w:rPr>
                <w:rFonts w:hint="eastAsia" w:ascii="宋体" w:hAnsi="宋体" w:cs="宋体"/>
                <w:color w:val="auto"/>
                <w:szCs w:val="21"/>
                <w:highlight w:val="none"/>
              </w:rPr>
            </w:pPr>
          </w:p>
        </w:tc>
        <w:tc>
          <w:tcPr>
            <w:tcW w:w="3313" w:type="dxa"/>
            <w:tcBorders>
              <w:top w:val="single" w:color="auto" w:sz="6" w:space="0"/>
              <w:left w:val="nil"/>
              <w:bottom w:val="single" w:color="auto" w:sz="6" w:space="0"/>
              <w:right w:val="single" w:color="auto" w:sz="6" w:space="0"/>
            </w:tcBorders>
            <w:noWrap w:val="0"/>
            <w:vAlign w:val="center"/>
          </w:tcPr>
          <w:p w14:paraId="07FD081D">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812" w:type="dxa"/>
            <w:tcBorders>
              <w:top w:val="single" w:color="auto" w:sz="6" w:space="0"/>
              <w:left w:val="single" w:color="auto" w:sz="6" w:space="0"/>
              <w:bottom w:val="single" w:color="auto" w:sz="6" w:space="0"/>
              <w:right w:val="single" w:color="auto" w:sz="6" w:space="0"/>
            </w:tcBorders>
            <w:noWrap w:val="0"/>
            <w:vAlign w:val="center"/>
          </w:tcPr>
          <w:p w14:paraId="42871F90">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联系人及职务：</w:t>
            </w:r>
          </w:p>
        </w:tc>
      </w:tr>
      <w:tr w14:paraId="6F57EF09">
        <w:tblPrEx>
          <w:tblCellMar>
            <w:top w:w="0" w:type="dxa"/>
            <w:left w:w="28" w:type="dxa"/>
            <w:bottom w:w="0" w:type="dxa"/>
            <w:right w:w="28" w:type="dxa"/>
          </w:tblCellMar>
        </w:tblPrEx>
        <w:trPr>
          <w:cantSplit/>
          <w:trHeight w:val="380" w:hRule="atLeast"/>
        </w:trPr>
        <w:tc>
          <w:tcPr>
            <w:tcW w:w="1454" w:type="dxa"/>
            <w:vMerge w:val="continue"/>
            <w:tcBorders>
              <w:top w:val="single" w:color="auto" w:sz="6" w:space="0"/>
              <w:left w:val="single" w:color="auto" w:sz="6" w:space="0"/>
              <w:bottom w:val="single" w:color="auto" w:sz="6" w:space="0"/>
              <w:right w:val="single" w:color="auto" w:sz="6" w:space="0"/>
            </w:tcBorders>
            <w:noWrap w:val="0"/>
            <w:vAlign w:val="center"/>
          </w:tcPr>
          <w:p w14:paraId="140002DD">
            <w:pPr>
              <w:widowControl/>
              <w:spacing w:line="360" w:lineRule="auto"/>
              <w:jc w:val="left"/>
              <w:rPr>
                <w:rFonts w:hint="eastAsia" w:ascii="宋体" w:hAnsi="宋体" w:cs="宋体"/>
                <w:color w:val="auto"/>
                <w:szCs w:val="21"/>
                <w:highlight w:val="none"/>
              </w:rPr>
            </w:pPr>
          </w:p>
        </w:tc>
        <w:tc>
          <w:tcPr>
            <w:tcW w:w="3313" w:type="dxa"/>
            <w:tcBorders>
              <w:top w:val="single" w:color="auto" w:sz="6" w:space="0"/>
              <w:left w:val="nil"/>
              <w:bottom w:val="single" w:color="auto" w:sz="6" w:space="0"/>
              <w:right w:val="single" w:color="auto" w:sz="6" w:space="0"/>
            </w:tcBorders>
            <w:noWrap w:val="0"/>
            <w:vAlign w:val="center"/>
          </w:tcPr>
          <w:p w14:paraId="6CEFC2C7">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4812" w:type="dxa"/>
            <w:tcBorders>
              <w:top w:val="single" w:color="auto" w:sz="6" w:space="0"/>
              <w:left w:val="single" w:color="auto" w:sz="6" w:space="0"/>
              <w:bottom w:val="single" w:color="auto" w:sz="6" w:space="0"/>
              <w:right w:val="single" w:color="auto" w:sz="6" w:space="0"/>
            </w:tcBorders>
            <w:noWrap w:val="0"/>
            <w:vAlign w:val="center"/>
          </w:tcPr>
          <w:p w14:paraId="440F0C64">
            <w:pPr>
              <w:spacing w:line="360" w:lineRule="auto"/>
              <w:ind w:left="92" w:firstLine="8"/>
              <w:rPr>
                <w:rFonts w:hint="eastAsia" w:ascii="宋体" w:hAnsi="宋体" w:cs="宋体"/>
                <w:color w:val="auto"/>
                <w:szCs w:val="21"/>
                <w:highlight w:val="none"/>
              </w:rPr>
            </w:pPr>
            <w:r>
              <w:rPr>
                <w:rFonts w:hint="eastAsia" w:ascii="宋体" w:hAnsi="宋体" w:cs="宋体"/>
                <w:color w:val="auto"/>
                <w:szCs w:val="21"/>
                <w:highlight w:val="none"/>
              </w:rPr>
              <w:t>电传：</w:t>
            </w:r>
          </w:p>
        </w:tc>
      </w:tr>
    </w:tbl>
    <w:p w14:paraId="0BC783EB">
      <w:pPr>
        <w:spacing w:line="360" w:lineRule="auto"/>
        <w:rPr>
          <w:rFonts w:hint="eastAsia" w:ascii="宋体" w:hAnsi="宋体" w:cs="宋体"/>
          <w:color w:val="auto"/>
          <w:szCs w:val="21"/>
          <w:highlight w:val="none"/>
        </w:rPr>
      </w:pPr>
    </w:p>
    <w:p w14:paraId="7EF45FFF">
      <w:pPr>
        <w:pStyle w:val="15"/>
        <w:spacing w:after="120" w:line="360" w:lineRule="auto"/>
        <w:rPr>
          <w:rFonts w:hint="eastAsia"/>
          <w:color w:val="auto"/>
          <w:szCs w:val="21"/>
          <w:highlight w:val="none"/>
        </w:rPr>
      </w:pPr>
      <w:r>
        <w:rPr>
          <w:rFonts w:hint="eastAsia"/>
          <w:color w:val="auto"/>
          <w:szCs w:val="21"/>
          <w:highlight w:val="none"/>
        </w:rPr>
        <w:t>2.近三年每年的资产负债情况</w:t>
      </w:r>
    </w:p>
    <w:tbl>
      <w:tblPr>
        <w:tblStyle w:val="4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830"/>
        <w:gridCol w:w="2591"/>
        <w:gridCol w:w="2504"/>
        <w:gridCol w:w="2654"/>
      </w:tblGrid>
      <w:tr w14:paraId="4E5E2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40" w:hRule="atLeast"/>
        </w:trPr>
        <w:tc>
          <w:tcPr>
            <w:tcW w:w="1830" w:type="dxa"/>
            <w:vMerge w:val="restart"/>
            <w:tcBorders>
              <w:top w:val="single" w:color="auto" w:sz="6" w:space="0"/>
              <w:left w:val="single" w:color="auto" w:sz="6" w:space="0"/>
              <w:bottom w:val="single" w:color="auto" w:sz="6" w:space="0"/>
              <w:right w:val="single" w:color="auto" w:sz="6" w:space="0"/>
            </w:tcBorders>
            <w:noWrap w:val="0"/>
            <w:vAlign w:val="center"/>
          </w:tcPr>
          <w:p w14:paraId="579330D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财务状况</w:t>
            </w:r>
          </w:p>
          <w:p w14:paraId="1FA50500">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（单位：元）</w:t>
            </w:r>
          </w:p>
        </w:tc>
        <w:tc>
          <w:tcPr>
            <w:tcW w:w="7749" w:type="dxa"/>
            <w:gridSpan w:val="3"/>
            <w:vMerge w:val="restart"/>
            <w:tcBorders>
              <w:top w:val="single" w:color="auto" w:sz="6" w:space="0"/>
              <w:left w:val="single" w:color="auto" w:sz="6" w:space="0"/>
              <w:bottom w:val="single" w:color="auto" w:sz="6" w:space="0"/>
              <w:right w:val="single" w:color="auto" w:sz="6" w:space="0"/>
            </w:tcBorders>
            <w:noWrap w:val="0"/>
            <w:vAlign w:val="center"/>
          </w:tcPr>
          <w:p w14:paraId="4B246948">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近 三 年</w:t>
            </w:r>
          </w:p>
        </w:tc>
      </w:tr>
      <w:tr w14:paraId="0CA56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2" w:hRule="atLeast"/>
        </w:trPr>
        <w:tc>
          <w:tcPr>
            <w:tcW w:w="1830" w:type="dxa"/>
            <w:vMerge w:val="continue"/>
            <w:tcBorders>
              <w:top w:val="single" w:color="auto" w:sz="6" w:space="0"/>
              <w:left w:val="single" w:color="auto" w:sz="6" w:space="0"/>
              <w:bottom w:val="single" w:color="auto" w:sz="6" w:space="0"/>
              <w:right w:val="single" w:color="auto" w:sz="6" w:space="0"/>
            </w:tcBorders>
            <w:noWrap w:val="0"/>
            <w:vAlign w:val="center"/>
          </w:tcPr>
          <w:p w14:paraId="518FD67B">
            <w:pPr>
              <w:widowControl/>
              <w:spacing w:line="360" w:lineRule="auto"/>
              <w:jc w:val="left"/>
              <w:rPr>
                <w:rFonts w:hint="eastAsia" w:ascii="宋体" w:hAnsi="宋体" w:cs="宋体"/>
                <w:color w:val="auto"/>
                <w:szCs w:val="21"/>
                <w:highlight w:val="none"/>
              </w:rPr>
            </w:pPr>
          </w:p>
        </w:tc>
        <w:tc>
          <w:tcPr>
            <w:tcW w:w="7749" w:type="dxa"/>
            <w:gridSpan w:val="3"/>
            <w:vMerge w:val="continue"/>
            <w:tcBorders>
              <w:top w:val="single" w:color="auto" w:sz="6" w:space="0"/>
              <w:left w:val="single" w:color="auto" w:sz="6" w:space="0"/>
              <w:bottom w:val="single" w:color="auto" w:sz="6" w:space="0"/>
              <w:right w:val="single" w:color="auto" w:sz="6" w:space="0"/>
            </w:tcBorders>
            <w:noWrap w:val="0"/>
            <w:vAlign w:val="center"/>
          </w:tcPr>
          <w:p w14:paraId="660EA46C">
            <w:pPr>
              <w:widowControl/>
              <w:spacing w:line="360" w:lineRule="auto"/>
              <w:jc w:val="left"/>
              <w:rPr>
                <w:rFonts w:hint="eastAsia" w:ascii="宋体" w:hAnsi="宋体" w:cs="宋体"/>
                <w:b/>
                <w:color w:val="auto"/>
                <w:szCs w:val="21"/>
                <w:highlight w:val="none"/>
              </w:rPr>
            </w:pPr>
          </w:p>
        </w:tc>
      </w:tr>
      <w:tr w14:paraId="392E8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40" w:hRule="atLeast"/>
        </w:trPr>
        <w:tc>
          <w:tcPr>
            <w:tcW w:w="1830" w:type="dxa"/>
            <w:vMerge w:val="continue"/>
            <w:tcBorders>
              <w:top w:val="single" w:color="auto" w:sz="6" w:space="0"/>
              <w:left w:val="single" w:color="auto" w:sz="6" w:space="0"/>
              <w:bottom w:val="single" w:color="auto" w:sz="6" w:space="0"/>
              <w:right w:val="single" w:color="auto" w:sz="6" w:space="0"/>
            </w:tcBorders>
            <w:noWrap w:val="0"/>
            <w:vAlign w:val="center"/>
          </w:tcPr>
          <w:p w14:paraId="5F988DAA">
            <w:pPr>
              <w:widowControl/>
              <w:spacing w:line="360" w:lineRule="auto"/>
              <w:jc w:val="left"/>
              <w:rPr>
                <w:rFonts w:hint="eastAsia" w:ascii="宋体" w:hAnsi="宋体" w:cs="宋体"/>
                <w:color w:val="auto"/>
                <w:szCs w:val="21"/>
                <w:highlight w:val="none"/>
              </w:rPr>
            </w:pPr>
          </w:p>
        </w:tc>
        <w:tc>
          <w:tcPr>
            <w:tcW w:w="2591" w:type="dxa"/>
            <w:tcBorders>
              <w:top w:val="single" w:color="auto" w:sz="6" w:space="0"/>
              <w:left w:val="single" w:color="auto" w:sz="6" w:space="0"/>
              <w:bottom w:val="single" w:color="auto" w:sz="6" w:space="0"/>
              <w:right w:val="single" w:color="auto" w:sz="6" w:space="0"/>
            </w:tcBorders>
            <w:noWrap w:val="0"/>
            <w:vAlign w:val="center"/>
          </w:tcPr>
          <w:p w14:paraId="51D3BDB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第一年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p>
        </w:tc>
        <w:tc>
          <w:tcPr>
            <w:tcW w:w="2504" w:type="dxa"/>
            <w:tcBorders>
              <w:top w:val="single" w:color="auto" w:sz="6" w:space="0"/>
              <w:left w:val="single" w:color="auto" w:sz="6" w:space="0"/>
              <w:bottom w:val="single" w:color="auto" w:sz="6" w:space="0"/>
              <w:right w:val="single" w:color="auto" w:sz="6" w:space="0"/>
            </w:tcBorders>
            <w:noWrap w:val="0"/>
            <w:vAlign w:val="center"/>
          </w:tcPr>
          <w:p w14:paraId="2B7B7D4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第二年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p>
        </w:tc>
        <w:tc>
          <w:tcPr>
            <w:tcW w:w="2654" w:type="dxa"/>
            <w:tcBorders>
              <w:top w:val="single" w:color="auto" w:sz="6" w:space="0"/>
              <w:left w:val="single" w:color="auto" w:sz="6" w:space="0"/>
              <w:bottom w:val="single" w:color="auto" w:sz="6" w:space="0"/>
              <w:right w:val="single" w:color="auto" w:sz="6" w:space="0"/>
            </w:tcBorders>
            <w:noWrap w:val="0"/>
            <w:vAlign w:val="center"/>
          </w:tcPr>
          <w:p w14:paraId="6F0A0A5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第三年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p>
        </w:tc>
      </w:tr>
      <w:tr w14:paraId="19942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4F5C0504">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1.总资产</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5608A524">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78A63BE7">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342CA2A0">
            <w:pPr>
              <w:spacing w:line="360" w:lineRule="auto"/>
              <w:rPr>
                <w:rFonts w:hint="eastAsia" w:ascii="宋体" w:hAnsi="宋体" w:cs="宋体"/>
                <w:color w:val="auto"/>
                <w:szCs w:val="21"/>
                <w:highlight w:val="none"/>
              </w:rPr>
            </w:pPr>
          </w:p>
        </w:tc>
      </w:tr>
      <w:tr w14:paraId="03D79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43423DB7">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2.流动资产</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14760D91">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41CA718B">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2DC053AF">
            <w:pPr>
              <w:spacing w:line="360" w:lineRule="auto"/>
              <w:rPr>
                <w:rFonts w:hint="eastAsia" w:ascii="宋体" w:hAnsi="宋体" w:cs="宋体"/>
                <w:color w:val="auto"/>
                <w:szCs w:val="21"/>
                <w:highlight w:val="none"/>
              </w:rPr>
            </w:pPr>
          </w:p>
        </w:tc>
      </w:tr>
      <w:tr w14:paraId="349F5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0C402945">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3.总负债</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0257FD3B">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0023CB38">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063C6B8F">
            <w:pPr>
              <w:spacing w:line="360" w:lineRule="auto"/>
              <w:rPr>
                <w:rFonts w:hint="eastAsia" w:ascii="宋体" w:hAnsi="宋体" w:cs="宋体"/>
                <w:color w:val="auto"/>
                <w:szCs w:val="21"/>
                <w:highlight w:val="none"/>
              </w:rPr>
            </w:pPr>
          </w:p>
        </w:tc>
      </w:tr>
      <w:tr w14:paraId="5EA76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3C7A0EC6">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4.流动负债</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3D3E7AB4">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0012EA51">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20AA2CCF">
            <w:pPr>
              <w:spacing w:line="360" w:lineRule="auto"/>
              <w:rPr>
                <w:rFonts w:hint="eastAsia" w:ascii="宋体" w:hAnsi="宋体" w:cs="宋体"/>
                <w:color w:val="auto"/>
                <w:szCs w:val="21"/>
                <w:highlight w:val="none"/>
              </w:rPr>
            </w:pPr>
          </w:p>
        </w:tc>
      </w:tr>
      <w:tr w14:paraId="17338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361533B8">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5.税前利润</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48B3AF8F">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7FFBFE0A">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7565F1FA">
            <w:pPr>
              <w:spacing w:line="360" w:lineRule="auto"/>
              <w:rPr>
                <w:rFonts w:hint="eastAsia" w:ascii="宋体" w:hAnsi="宋体" w:cs="宋体"/>
                <w:color w:val="auto"/>
                <w:szCs w:val="21"/>
                <w:highlight w:val="none"/>
              </w:rPr>
            </w:pPr>
          </w:p>
        </w:tc>
      </w:tr>
      <w:tr w14:paraId="43C73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1830" w:type="dxa"/>
            <w:tcBorders>
              <w:top w:val="single" w:color="auto" w:sz="6" w:space="0"/>
              <w:left w:val="single" w:color="auto" w:sz="6" w:space="0"/>
              <w:bottom w:val="single" w:color="auto" w:sz="6" w:space="0"/>
              <w:right w:val="single" w:color="auto" w:sz="6" w:space="0"/>
            </w:tcBorders>
            <w:noWrap w:val="0"/>
            <w:vAlign w:val="center"/>
          </w:tcPr>
          <w:p w14:paraId="3008AE49">
            <w:pPr>
              <w:spacing w:line="360" w:lineRule="auto"/>
              <w:ind w:left="100"/>
              <w:rPr>
                <w:rFonts w:hint="eastAsia" w:ascii="宋体" w:hAnsi="宋体" w:cs="宋体"/>
                <w:color w:val="auto"/>
                <w:szCs w:val="21"/>
                <w:highlight w:val="none"/>
              </w:rPr>
            </w:pPr>
            <w:r>
              <w:rPr>
                <w:rFonts w:hint="eastAsia" w:ascii="宋体" w:hAnsi="宋体" w:cs="宋体"/>
                <w:color w:val="auto"/>
                <w:szCs w:val="21"/>
                <w:highlight w:val="none"/>
              </w:rPr>
              <w:t>6.税后利润</w:t>
            </w:r>
          </w:p>
        </w:tc>
        <w:tc>
          <w:tcPr>
            <w:tcW w:w="2591" w:type="dxa"/>
            <w:tcBorders>
              <w:top w:val="single" w:color="auto" w:sz="6" w:space="0"/>
              <w:left w:val="single" w:color="auto" w:sz="6" w:space="0"/>
              <w:bottom w:val="single" w:color="auto" w:sz="6" w:space="0"/>
              <w:right w:val="single" w:color="auto" w:sz="6" w:space="0"/>
            </w:tcBorders>
            <w:noWrap w:val="0"/>
            <w:vAlign w:val="center"/>
          </w:tcPr>
          <w:p w14:paraId="7E4035FF">
            <w:pPr>
              <w:spacing w:line="360" w:lineRule="auto"/>
              <w:rPr>
                <w:rFonts w:hint="eastAsia" w:ascii="宋体" w:hAnsi="宋体" w:cs="宋体"/>
                <w:color w:val="auto"/>
                <w:szCs w:val="21"/>
                <w:highlight w:val="none"/>
              </w:rPr>
            </w:pPr>
          </w:p>
        </w:tc>
        <w:tc>
          <w:tcPr>
            <w:tcW w:w="2504" w:type="dxa"/>
            <w:tcBorders>
              <w:top w:val="single" w:color="auto" w:sz="6" w:space="0"/>
              <w:left w:val="single" w:color="auto" w:sz="6" w:space="0"/>
              <w:bottom w:val="single" w:color="auto" w:sz="6" w:space="0"/>
              <w:right w:val="single" w:color="auto" w:sz="6" w:space="0"/>
            </w:tcBorders>
            <w:noWrap w:val="0"/>
            <w:vAlign w:val="center"/>
          </w:tcPr>
          <w:p w14:paraId="52C79488">
            <w:pPr>
              <w:spacing w:line="360" w:lineRule="auto"/>
              <w:rPr>
                <w:rFonts w:hint="eastAsia" w:ascii="宋体" w:hAnsi="宋体" w:cs="宋体"/>
                <w:color w:val="auto"/>
                <w:szCs w:val="21"/>
                <w:highlight w:val="none"/>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14:paraId="0E239857">
            <w:pPr>
              <w:spacing w:line="360" w:lineRule="auto"/>
              <w:rPr>
                <w:rFonts w:hint="eastAsia" w:ascii="宋体" w:hAnsi="宋体" w:cs="宋体"/>
                <w:color w:val="auto"/>
                <w:szCs w:val="21"/>
                <w:highlight w:val="none"/>
              </w:rPr>
            </w:pPr>
          </w:p>
        </w:tc>
      </w:tr>
    </w:tbl>
    <w:p w14:paraId="380E236F">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cs="宋体"/>
          <w:color w:val="auto"/>
          <w:highlight w:val="none"/>
        </w:rPr>
        <w:t>备注：</w:t>
      </w:r>
      <w:r>
        <w:rPr>
          <w:rFonts w:hint="eastAsia" w:ascii="宋体" w:hAnsi="宋体" w:cs="宋体"/>
          <w:b w:val="0"/>
          <w:bCs w:val="0"/>
          <w:color w:val="auto"/>
          <w:szCs w:val="21"/>
          <w:highlight w:val="none"/>
          <w:lang w:val="en-US" w:eastAsia="zh-CN"/>
        </w:rPr>
        <w:t>供应商</w:t>
      </w:r>
      <w:r>
        <w:rPr>
          <w:rFonts w:hint="eastAsia" w:ascii="宋体" w:hAnsi="宋体" w:cs="宋体"/>
          <w:b w:val="0"/>
          <w:bCs w:val="0"/>
          <w:color w:val="auto"/>
          <w:szCs w:val="21"/>
          <w:highlight w:val="none"/>
        </w:rPr>
        <w:t>具有良好的财务状况，提供</w:t>
      </w:r>
      <w:r>
        <w:rPr>
          <w:rFonts w:hint="eastAsia" w:ascii="宋体" w:hAnsi="宋体" w:cs="宋体"/>
          <w:b w:val="0"/>
          <w:bCs w:val="0"/>
          <w:color w:val="auto"/>
          <w:szCs w:val="21"/>
          <w:highlight w:val="none"/>
          <w:lang w:eastAsia="zh-CN"/>
        </w:rPr>
        <w:t>2023～2025年任意一年的</w:t>
      </w:r>
      <w:r>
        <w:rPr>
          <w:rFonts w:hint="eastAsia" w:ascii="宋体" w:hAnsi="宋体" w:cs="宋体"/>
          <w:b w:val="0"/>
          <w:bCs w:val="0"/>
          <w:color w:val="auto"/>
          <w:szCs w:val="21"/>
          <w:highlight w:val="none"/>
        </w:rPr>
        <w:t>财务报表（资产负债表、利润表、现金流量表）或</w:t>
      </w:r>
      <w:r>
        <w:rPr>
          <w:rFonts w:hint="eastAsia" w:ascii="宋体" w:hAnsi="宋体" w:cs="宋体"/>
          <w:b w:val="0"/>
          <w:bCs w:val="0"/>
          <w:color w:val="auto"/>
          <w:szCs w:val="21"/>
          <w:highlight w:val="none"/>
          <w:lang w:eastAsia="zh-CN"/>
        </w:rPr>
        <w:t>响应文件</w:t>
      </w:r>
      <w:r>
        <w:rPr>
          <w:rFonts w:hint="eastAsia" w:ascii="宋体" w:hAnsi="宋体" w:cs="宋体"/>
          <w:b w:val="0"/>
          <w:bCs w:val="0"/>
          <w:color w:val="auto"/>
          <w:szCs w:val="21"/>
          <w:highlight w:val="none"/>
        </w:rPr>
        <w:t>递交截止时间前3个月内银行出具的资信证明，</w:t>
      </w:r>
      <w:r>
        <w:rPr>
          <w:rFonts w:hint="eastAsia" w:ascii="宋体" w:hAnsi="宋体" w:eastAsia="宋体" w:cs="宋体"/>
          <w:color w:val="auto"/>
          <w:szCs w:val="21"/>
          <w:highlight w:val="none"/>
        </w:rPr>
        <w:t>若供应商成立不足三年，则应提供自成立之日起至最近一个完整会计年度的财务报表（包括资产负债表、利润表和现金流量表），或提供响应文件递交截止时间前3个月内由银行出具的资信证明。</w:t>
      </w:r>
    </w:p>
    <w:p w14:paraId="02398265">
      <w:pPr>
        <w:spacing w:line="360" w:lineRule="auto"/>
        <w:ind w:firstLine="422" w:firstLineChars="200"/>
        <w:jc w:val="left"/>
        <w:rPr>
          <w:rFonts w:hint="eastAsia" w:ascii="宋体" w:hAnsi="宋体" w:cs="宋体"/>
          <w:b/>
          <w:bCs/>
          <w:color w:val="auto"/>
          <w:highlight w:val="none"/>
        </w:rPr>
      </w:pPr>
    </w:p>
    <w:p w14:paraId="0BD6345F">
      <w:pPr>
        <w:spacing w:line="360" w:lineRule="auto"/>
        <w:jc w:val="center"/>
        <w:outlineLvl w:val="3"/>
        <w:rPr>
          <w:rFonts w:hint="eastAsia" w:ascii="宋体" w:hAnsi="宋体" w:cs="宋体"/>
          <w:b/>
          <w:color w:val="auto"/>
          <w:sz w:val="24"/>
          <w:highlight w:val="none"/>
        </w:rPr>
      </w:pPr>
      <w:r>
        <w:rPr>
          <w:rFonts w:hint="eastAsia" w:ascii="宋体" w:hAnsi="宋体" w:cs="宋体"/>
          <w:color w:val="auto"/>
          <w:sz w:val="24"/>
          <w:highlight w:val="none"/>
        </w:rPr>
        <w:br w:type="page"/>
      </w:r>
      <w:bookmarkStart w:id="388" w:name="_Toc5829"/>
      <w:bookmarkStart w:id="389" w:name="_Toc11378"/>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.业绩要求</w:t>
      </w:r>
      <w:bookmarkEnd w:id="388"/>
      <w:bookmarkEnd w:id="389"/>
    </w:p>
    <w:p w14:paraId="66B54FCF">
      <w:pPr>
        <w:spacing w:line="360" w:lineRule="auto"/>
        <w:jc w:val="center"/>
        <w:outlineLvl w:val="3"/>
        <w:rPr>
          <w:rFonts w:hint="eastAsia"/>
          <w:color w:val="000000"/>
        </w:rPr>
      </w:pPr>
      <w:r>
        <w:rPr>
          <w:rFonts w:hint="eastAsia" w:ascii="宋体" w:hAnsi="宋体" w:eastAsia="宋体" w:cs="宋体"/>
          <w:color w:val="auto"/>
          <w:szCs w:val="21"/>
          <w:highlight w:val="none"/>
        </w:rPr>
        <w:t>供应商近年</w:t>
      </w:r>
      <w:r>
        <w:rPr>
          <w:rFonts w:hint="eastAsia"/>
          <w:highlight w:val="none"/>
        </w:rPr>
        <w:t>近年（</w:t>
      </w:r>
      <w:r>
        <w:rPr>
          <w:rFonts w:hint="eastAsia"/>
          <w:highlight w:val="none"/>
          <w:lang w:eastAsia="zh-CN"/>
        </w:rPr>
        <w:t>2023年1月1日</w:t>
      </w:r>
      <w:r>
        <w:rPr>
          <w:rFonts w:hint="eastAsia"/>
          <w:highlight w:val="none"/>
        </w:rPr>
        <w:t>至今）至少承担过1个类似业绩，类似业绩是指</w:t>
      </w:r>
      <w:r>
        <w:rPr>
          <w:rFonts w:hint="eastAsia"/>
          <w:b/>
          <w:bCs/>
          <w:highlight w:val="none"/>
          <w:u w:val="none"/>
          <w:lang w:val="en-US" w:eastAsia="zh-CN"/>
        </w:rPr>
        <w:t>生产型企业相关</w:t>
      </w:r>
      <w:r>
        <w:rPr>
          <w:rFonts w:hint="eastAsia"/>
          <w:b/>
          <w:bCs/>
          <w:highlight w:val="none"/>
          <w:u w:val="none"/>
        </w:rPr>
        <w:t>劳务</w:t>
      </w:r>
      <w:r>
        <w:rPr>
          <w:rFonts w:hint="eastAsia"/>
          <w:b/>
          <w:bCs/>
          <w:highlight w:val="none"/>
          <w:u w:val="none"/>
          <w:lang w:val="en-US" w:eastAsia="zh-CN"/>
        </w:rPr>
        <w:t>承包业绩</w:t>
      </w:r>
      <w:r>
        <w:rPr>
          <w:rFonts w:hint="eastAsia"/>
          <w:highlight w:val="none"/>
        </w:rPr>
        <w:t>，需提供业绩证明材料（业绩证明材料是指中标通知书或合同协议书）</w:t>
      </w:r>
      <w:r>
        <w:rPr>
          <w:rFonts w:hint="eastAsia"/>
          <w:color w:val="000000"/>
        </w:rPr>
        <w:t>。</w:t>
      </w:r>
    </w:p>
    <w:p w14:paraId="7D5F958B">
      <w:pPr>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br w:type="page"/>
      </w:r>
    </w:p>
    <w:p w14:paraId="37A3AAAE">
      <w:pPr>
        <w:pStyle w:val="19"/>
        <w:numPr>
          <w:ilvl w:val="0"/>
          <w:numId w:val="11"/>
        </w:numPr>
        <w:spacing w:line="360" w:lineRule="auto"/>
        <w:jc w:val="center"/>
        <w:outlineLvl w:val="2"/>
        <w:rPr>
          <w:rFonts w:hint="eastAsia" w:hAnsi="宋体" w:cs="宋体"/>
          <w:b/>
          <w:color w:val="auto"/>
          <w:sz w:val="24"/>
          <w:szCs w:val="24"/>
          <w:highlight w:val="none"/>
        </w:rPr>
      </w:pPr>
      <w:bookmarkStart w:id="390" w:name="_Toc1941"/>
      <w:bookmarkStart w:id="391" w:name="_Toc32461"/>
      <w:bookmarkStart w:id="392" w:name="_Toc30439"/>
      <w:bookmarkStart w:id="393" w:name="_Toc20688"/>
      <w:bookmarkStart w:id="394" w:name="_Toc6435"/>
      <w:bookmarkStart w:id="395" w:name="_Toc24196"/>
      <w:bookmarkStart w:id="396" w:name="_Toc4017"/>
      <w:bookmarkStart w:id="397" w:name="_Toc25261"/>
      <w:bookmarkStart w:id="398" w:name="_Toc28964"/>
      <w:bookmarkStart w:id="399" w:name="_Toc23200"/>
      <w:bookmarkStart w:id="400" w:name="_Toc31535"/>
      <w:bookmarkStart w:id="401" w:name="_Toc22967"/>
      <w:r>
        <w:rPr>
          <w:rFonts w:hint="eastAsia" w:hAnsi="宋体" w:cs="宋体"/>
          <w:b/>
          <w:color w:val="auto"/>
          <w:sz w:val="24"/>
          <w:szCs w:val="24"/>
          <w:highlight w:val="none"/>
        </w:rPr>
        <w:t>供应商认为有必要提供的其他证明资料</w:t>
      </w:r>
      <w:bookmarkEnd w:id="390"/>
      <w:bookmarkEnd w:id="391"/>
      <w:bookmarkEnd w:id="392"/>
      <w:bookmarkEnd w:id="393"/>
      <w:bookmarkEnd w:id="394"/>
      <w:bookmarkEnd w:id="395"/>
      <w:bookmarkEnd w:id="396"/>
      <w:bookmarkEnd w:id="397"/>
      <w:bookmarkEnd w:id="398"/>
      <w:bookmarkEnd w:id="399"/>
      <w:bookmarkEnd w:id="400"/>
      <w:bookmarkEnd w:id="401"/>
    </w:p>
    <w:p w14:paraId="5795A364">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供应商认为有必要提供的其他资料</w:t>
      </w:r>
    </w:p>
    <w:p w14:paraId="3C87D2DD">
      <w:pPr>
        <w:spacing w:line="360" w:lineRule="auto"/>
        <w:rPr>
          <w:rFonts w:hint="eastAsia" w:ascii="宋体" w:hAnsi="宋体" w:cs="宋体"/>
          <w:color w:val="auto"/>
          <w:highlight w:val="none"/>
        </w:rPr>
      </w:pPr>
      <w:r>
        <w:rPr>
          <w:rFonts w:hint="eastAsia" w:ascii="宋体" w:hAnsi="宋体" w:cs="宋体"/>
          <w:bCs/>
          <w:color w:val="auto"/>
          <w:sz w:val="24"/>
          <w:highlight w:val="none"/>
        </w:rPr>
        <w:br w:type="page"/>
      </w:r>
    </w:p>
    <w:p w14:paraId="650BF697">
      <w:pPr>
        <w:spacing w:line="360" w:lineRule="auto"/>
        <w:jc w:val="center"/>
        <w:outlineLvl w:val="1"/>
        <w:rPr>
          <w:rFonts w:hint="eastAsia" w:ascii="宋体" w:hAnsi="宋体" w:cs="宋体"/>
          <w:color w:val="auto"/>
          <w:sz w:val="30"/>
          <w:szCs w:val="30"/>
          <w:highlight w:val="none"/>
        </w:rPr>
      </w:pPr>
      <w:bookmarkStart w:id="402" w:name="_Toc789"/>
      <w:bookmarkStart w:id="403" w:name="_Toc24404"/>
      <w:bookmarkStart w:id="404" w:name="_Toc6548"/>
      <w:bookmarkStart w:id="405" w:name="_Toc508819990"/>
      <w:bookmarkStart w:id="406" w:name="_Toc13298"/>
      <w:bookmarkStart w:id="407" w:name="_Toc3294"/>
      <w:bookmarkStart w:id="408" w:name="_Toc14358"/>
      <w:bookmarkStart w:id="409" w:name="_Toc501722808"/>
      <w:bookmarkStart w:id="410" w:name="_Toc25348"/>
      <w:bookmarkStart w:id="411" w:name="_Toc10978"/>
      <w:bookmarkStart w:id="412" w:name="_Toc15519"/>
      <w:bookmarkStart w:id="413" w:name="_Toc3152"/>
      <w:bookmarkStart w:id="414" w:name="_Toc496520998"/>
      <w:bookmarkStart w:id="415" w:name="_Toc29611"/>
      <w:bookmarkStart w:id="416" w:name="_Toc21826"/>
      <w:bookmarkStart w:id="417" w:name="_Toc24757"/>
      <w:bookmarkStart w:id="418" w:name="_Toc32737"/>
      <w:r>
        <w:rPr>
          <w:rFonts w:hint="eastAsia" w:ascii="宋体" w:hAnsi="宋体" w:cs="宋体"/>
          <w:b/>
          <w:bCs/>
          <w:color w:val="auto"/>
          <w:sz w:val="28"/>
          <w:szCs w:val="28"/>
          <w:highlight w:val="none"/>
        </w:rPr>
        <w:t>三、商务部分</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7A0CBECB">
      <w:pPr>
        <w:pStyle w:val="19"/>
        <w:spacing w:after="120" w:line="360" w:lineRule="auto"/>
        <w:jc w:val="center"/>
        <w:outlineLvl w:val="2"/>
        <w:rPr>
          <w:rFonts w:hint="eastAsia" w:hAnsi="宋体" w:cs="宋体"/>
          <w:b/>
          <w:color w:val="auto"/>
          <w:sz w:val="24"/>
          <w:szCs w:val="24"/>
          <w:highlight w:val="none"/>
        </w:rPr>
      </w:pPr>
      <w:bookmarkStart w:id="419" w:name="_Toc8200"/>
      <w:bookmarkStart w:id="420" w:name="_Toc2223"/>
      <w:bookmarkStart w:id="421" w:name="_Toc21346"/>
      <w:bookmarkStart w:id="422" w:name="_Toc7707"/>
      <w:bookmarkStart w:id="423" w:name="_Toc31932"/>
      <w:bookmarkStart w:id="424" w:name="_Toc24004"/>
      <w:bookmarkStart w:id="425" w:name="_Toc5764"/>
      <w:bookmarkStart w:id="426" w:name="_Toc21616"/>
      <w:bookmarkStart w:id="427" w:name="_Toc17920"/>
      <w:bookmarkStart w:id="428" w:name="_Toc29115"/>
      <w:bookmarkStart w:id="429" w:name="_Toc25197"/>
      <w:bookmarkStart w:id="430" w:name="_Toc501722818"/>
      <w:bookmarkStart w:id="431" w:name="_Toc5355"/>
      <w:bookmarkStart w:id="432" w:name="_Toc508820000"/>
      <w:bookmarkStart w:id="433" w:name="_Toc496521008"/>
      <w:bookmarkStart w:id="434" w:name="_Toc12419"/>
      <w:r>
        <w:rPr>
          <w:rFonts w:hint="eastAsia" w:hAnsi="宋体" w:cs="宋体"/>
          <w:b/>
          <w:color w:val="auto"/>
          <w:sz w:val="24"/>
          <w:szCs w:val="24"/>
          <w:highlight w:val="none"/>
        </w:rPr>
        <w:t>（一）</w:t>
      </w:r>
      <w:bookmarkEnd w:id="419"/>
      <w:bookmarkEnd w:id="420"/>
      <w:bookmarkEnd w:id="421"/>
      <w:r>
        <w:rPr>
          <w:rFonts w:hint="eastAsia" w:hAnsi="宋体" w:cs="宋体"/>
          <w:b/>
          <w:color w:val="auto"/>
          <w:sz w:val="24"/>
          <w:szCs w:val="24"/>
          <w:highlight w:val="none"/>
        </w:rPr>
        <w:t>类似业绩</w:t>
      </w:r>
      <w:bookmarkEnd w:id="422"/>
      <w:bookmarkEnd w:id="423"/>
      <w:bookmarkEnd w:id="424"/>
      <w:bookmarkEnd w:id="425"/>
      <w:bookmarkEnd w:id="426"/>
      <w:bookmarkEnd w:id="427"/>
      <w:bookmarkEnd w:id="428"/>
      <w:bookmarkEnd w:id="429"/>
    </w:p>
    <w:p w14:paraId="5F94DAE5">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业绩一览表</w:t>
      </w:r>
    </w:p>
    <w:p w14:paraId="2DCE6B65">
      <w:pPr>
        <w:adjustRightInd w:val="0"/>
        <w:snapToGrid w:val="0"/>
        <w:spacing w:line="360" w:lineRule="auto"/>
        <w:ind w:firstLine="200"/>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w:t>
      </w:r>
    </w:p>
    <w:p w14:paraId="64D04C60">
      <w:pPr>
        <w:adjustRightInd w:val="0"/>
        <w:snapToGrid w:val="0"/>
        <w:spacing w:line="360" w:lineRule="auto"/>
        <w:ind w:firstLine="200"/>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1"/>
        <w:gridCol w:w="1041"/>
        <w:gridCol w:w="1041"/>
        <w:gridCol w:w="2356"/>
        <w:gridCol w:w="1041"/>
        <w:gridCol w:w="1530"/>
        <w:gridCol w:w="2017"/>
      </w:tblGrid>
      <w:tr w14:paraId="0DA81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7FCEE1E5">
            <w:pPr>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1041" w:type="dxa"/>
            <w:noWrap w:val="0"/>
            <w:vAlign w:val="center"/>
          </w:tcPr>
          <w:p w14:paraId="1EADA430">
            <w:pPr>
              <w:spacing w:line="360" w:lineRule="auto"/>
              <w:jc w:val="center"/>
              <w:rPr>
                <w:rFonts w:hint="eastAsia" w:ascii="宋体" w:hAnsi="宋体" w:cs="宋体"/>
                <w:color w:val="auto"/>
                <w:highlight w:val="none"/>
              </w:rPr>
            </w:pPr>
            <w:r>
              <w:rPr>
                <w:rFonts w:hint="eastAsia" w:ascii="宋体" w:hAnsi="宋体" w:cs="宋体"/>
                <w:color w:val="auto"/>
                <w:highlight w:val="none"/>
              </w:rPr>
              <w:t>项目名称</w:t>
            </w:r>
          </w:p>
        </w:tc>
        <w:tc>
          <w:tcPr>
            <w:tcW w:w="1041" w:type="dxa"/>
            <w:noWrap w:val="0"/>
            <w:vAlign w:val="center"/>
          </w:tcPr>
          <w:p w14:paraId="71E842A9">
            <w:pPr>
              <w:spacing w:line="360" w:lineRule="auto"/>
              <w:jc w:val="center"/>
              <w:rPr>
                <w:rFonts w:hint="eastAsia" w:ascii="宋体" w:hAnsi="宋体" w:cs="宋体"/>
                <w:color w:val="auto"/>
                <w:highlight w:val="none"/>
              </w:rPr>
            </w:pPr>
            <w:r>
              <w:rPr>
                <w:rFonts w:hint="eastAsia" w:ascii="宋体" w:hAnsi="宋体" w:cs="宋体"/>
                <w:color w:val="auto"/>
                <w:highlight w:val="none"/>
              </w:rPr>
              <w:t>业主名称</w:t>
            </w:r>
          </w:p>
        </w:tc>
        <w:tc>
          <w:tcPr>
            <w:tcW w:w="2356" w:type="dxa"/>
            <w:noWrap w:val="0"/>
            <w:vAlign w:val="center"/>
          </w:tcPr>
          <w:p w14:paraId="33114B9A">
            <w:pPr>
              <w:spacing w:line="360" w:lineRule="auto"/>
              <w:jc w:val="center"/>
              <w:rPr>
                <w:rFonts w:hint="eastAsia" w:ascii="宋体" w:hAnsi="宋体" w:cs="宋体"/>
                <w:color w:val="auto"/>
                <w:highlight w:val="none"/>
              </w:rPr>
            </w:pPr>
            <w:r>
              <w:rPr>
                <w:rFonts w:hint="eastAsia" w:ascii="宋体" w:hAnsi="宋体" w:cs="宋体"/>
                <w:color w:val="auto"/>
                <w:highlight w:val="none"/>
              </w:rPr>
              <w:t>服务质量</w:t>
            </w:r>
          </w:p>
        </w:tc>
        <w:tc>
          <w:tcPr>
            <w:tcW w:w="1041" w:type="dxa"/>
            <w:noWrap w:val="0"/>
            <w:vAlign w:val="center"/>
          </w:tcPr>
          <w:p w14:paraId="24B5BAE3">
            <w:pPr>
              <w:spacing w:line="360" w:lineRule="auto"/>
              <w:jc w:val="center"/>
              <w:rPr>
                <w:rFonts w:hint="eastAsia" w:ascii="宋体" w:hAnsi="宋体" w:cs="宋体"/>
                <w:color w:val="auto"/>
                <w:highlight w:val="none"/>
              </w:rPr>
            </w:pPr>
            <w:r>
              <w:rPr>
                <w:rFonts w:hint="eastAsia" w:ascii="宋体" w:hAnsi="宋体" w:cs="宋体"/>
                <w:color w:val="auto"/>
                <w:highlight w:val="none"/>
              </w:rPr>
              <w:t>合同金额</w:t>
            </w:r>
          </w:p>
          <w:p w14:paraId="23A3CB88">
            <w:pPr>
              <w:spacing w:line="360" w:lineRule="auto"/>
              <w:jc w:val="center"/>
              <w:rPr>
                <w:rFonts w:hint="eastAsia" w:ascii="宋体" w:hAnsi="宋体" w:cs="宋体"/>
                <w:color w:val="auto"/>
                <w:highlight w:val="none"/>
              </w:rPr>
            </w:pPr>
            <w:r>
              <w:rPr>
                <w:rFonts w:hint="eastAsia" w:ascii="宋体" w:hAnsi="宋体" w:cs="宋体"/>
                <w:color w:val="auto"/>
                <w:highlight w:val="none"/>
              </w:rPr>
              <w:t>（万元）</w:t>
            </w:r>
          </w:p>
        </w:tc>
        <w:tc>
          <w:tcPr>
            <w:tcW w:w="1530" w:type="dxa"/>
            <w:tcBorders>
              <w:right w:val="single" w:color="auto" w:sz="4" w:space="0"/>
            </w:tcBorders>
            <w:noWrap w:val="0"/>
            <w:vAlign w:val="center"/>
          </w:tcPr>
          <w:p w14:paraId="2B740462">
            <w:pPr>
              <w:spacing w:line="360" w:lineRule="auto"/>
              <w:jc w:val="center"/>
              <w:rPr>
                <w:rFonts w:hint="eastAsia" w:ascii="宋体" w:hAnsi="宋体" w:cs="宋体"/>
                <w:color w:val="auto"/>
                <w:highlight w:val="none"/>
              </w:rPr>
            </w:pPr>
            <w:r>
              <w:rPr>
                <w:rFonts w:hint="eastAsia" w:ascii="宋体" w:hAnsi="宋体" w:cs="宋体"/>
                <w:color w:val="auto"/>
                <w:highlight w:val="none"/>
              </w:rPr>
              <w:t>合同签订时间</w:t>
            </w:r>
          </w:p>
        </w:tc>
        <w:tc>
          <w:tcPr>
            <w:tcW w:w="2017" w:type="dxa"/>
            <w:tcBorders>
              <w:left w:val="single" w:color="auto" w:sz="4" w:space="0"/>
            </w:tcBorders>
            <w:noWrap w:val="0"/>
            <w:vAlign w:val="center"/>
          </w:tcPr>
          <w:p w14:paraId="553E34EB">
            <w:pPr>
              <w:spacing w:line="360" w:lineRule="auto"/>
              <w:jc w:val="center"/>
              <w:rPr>
                <w:rFonts w:hint="eastAsia" w:ascii="宋体" w:hAnsi="宋体" w:cs="宋体"/>
                <w:color w:val="auto"/>
                <w:highlight w:val="none"/>
              </w:rPr>
            </w:pPr>
            <w:r>
              <w:rPr>
                <w:rFonts w:hint="eastAsia" w:ascii="宋体" w:hAnsi="宋体" w:cs="宋体"/>
                <w:color w:val="auto"/>
                <w:highlight w:val="none"/>
              </w:rPr>
              <w:t>付款发票（张数）</w:t>
            </w:r>
          </w:p>
        </w:tc>
      </w:tr>
      <w:tr w14:paraId="6D4D8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24C02BA1">
            <w:pPr>
              <w:spacing w:line="360" w:lineRule="auto"/>
              <w:jc w:val="center"/>
              <w:rPr>
                <w:rFonts w:hint="eastAsia" w:ascii="宋体" w:hAnsi="宋体" w:cs="宋体"/>
                <w:color w:val="auto"/>
                <w:highlight w:val="none"/>
              </w:rPr>
            </w:pPr>
            <w:r>
              <w:rPr>
                <w:rFonts w:hint="eastAsia" w:ascii="宋体" w:hAnsi="宋体" w:cs="宋体"/>
                <w:color w:val="auto"/>
                <w:highlight w:val="none"/>
              </w:rPr>
              <w:t>1</w:t>
            </w:r>
          </w:p>
        </w:tc>
        <w:tc>
          <w:tcPr>
            <w:tcW w:w="1041" w:type="dxa"/>
            <w:noWrap w:val="0"/>
            <w:vAlign w:val="center"/>
          </w:tcPr>
          <w:p w14:paraId="0782391B">
            <w:pPr>
              <w:spacing w:line="360" w:lineRule="auto"/>
              <w:jc w:val="center"/>
              <w:rPr>
                <w:rFonts w:hint="eastAsia" w:ascii="宋体" w:hAnsi="宋体" w:cs="宋体"/>
                <w:color w:val="auto"/>
                <w:highlight w:val="none"/>
              </w:rPr>
            </w:pPr>
          </w:p>
        </w:tc>
        <w:tc>
          <w:tcPr>
            <w:tcW w:w="1041" w:type="dxa"/>
            <w:noWrap w:val="0"/>
            <w:vAlign w:val="center"/>
          </w:tcPr>
          <w:p w14:paraId="1EC66C10">
            <w:pPr>
              <w:spacing w:line="360" w:lineRule="auto"/>
              <w:jc w:val="center"/>
              <w:rPr>
                <w:rFonts w:hint="eastAsia" w:ascii="宋体" w:hAnsi="宋体" w:cs="宋体"/>
                <w:color w:val="auto"/>
                <w:highlight w:val="none"/>
              </w:rPr>
            </w:pPr>
          </w:p>
        </w:tc>
        <w:tc>
          <w:tcPr>
            <w:tcW w:w="2356" w:type="dxa"/>
            <w:noWrap w:val="0"/>
            <w:vAlign w:val="center"/>
          </w:tcPr>
          <w:p w14:paraId="1F9A3F28">
            <w:pPr>
              <w:spacing w:line="360" w:lineRule="auto"/>
              <w:jc w:val="center"/>
              <w:rPr>
                <w:rFonts w:hint="eastAsia" w:ascii="宋体" w:hAnsi="宋体" w:cs="宋体"/>
                <w:color w:val="auto"/>
                <w:highlight w:val="none"/>
              </w:rPr>
            </w:pPr>
          </w:p>
        </w:tc>
        <w:tc>
          <w:tcPr>
            <w:tcW w:w="1041" w:type="dxa"/>
            <w:noWrap w:val="0"/>
            <w:vAlign w:val="center"/>
          </w:tcPr>
          <w:p w14:paraId="761F80FC">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56B4DDC7">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6D1B2933">
            <w:pPr>
              <w:spacing w:line="360" w:lineRule="auto"/>
              <w:jc w:val="center"/>
              <w:rPr>
                <w:rFonts w:hint="eastAsia" w:ascii="宋体" w:hAnsi="宋体" w:cs="宋体"/>
                <w:color w:val="auto"/>
                <w:highlight w:val="none"/>
              </w:rPr>
            </w:pPr>
          </w:p>
        </w:tc>
      </w:tr>
      <w:tr w14:paraId="51771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7E57E3F8">
            <w:pPr>
              <w:spacing w:line="360" w:lineRule="auto"/>
              <w:jc w:val="center"/>
              <w:rPr>
                <w:rFonts w:hint="eastAsia" w:ascii="宋体" w:hAnsi="宋体" w:cs="宋体"/>
                <w:color w:val="auto"/>
                <w:highlight w:val="none"/>
              </w:rPr>
            </w:pPr>
            <w:r>
              <w:rPr>
                <w:rFonts w:hint="eastAsia" w:ascii="宋体" w:hAnsi="宋体" w:cs="宋体"/>
                <w:color w:val="auto"/>
                <w:highlight w:val="none"/>
              </w:rPr>
              <w:t>2</w:t>
            </w:r>
          </w:p>
        </w:tc>
        <w:tc>
          <w:tcPr>
            <w:tcW w:w="1041" w:type="dxa"/>
            <w:noWrap w:val="0"/>
            <w:vAlign w:val="center"/>
          </w:tcPr>
          <w:p w14:paraId="778EECD1">
            <w:pPr>
              <w:spacing w:line="360" w:lineRule="auto"/>
              <w:jc w:val="center"/>
              <w:rPr>
                <w:rFonts w:hint="eastAsia" w:ascii="宋体" w:hAnsi="宋体" w:cs="宋体"/>
                <w:color w:val="auto"/>
                <w:highlight w:val="none"/>
              </w:rPr>
            </w:pPr>
          </w:p>
        </w:tc>
        <w:tc>
          <w:tcPr>
            <w:tcW w:w="1041" w:type="dxa"/>
            <w:noWrap w:val="0"/>
            <w:vAlign w:val="center"/>
          </w:tcPr>
          <w:p w14:paraId="329E9208">
            <w:pPr>
              <w:spacing w:line="360" w:lineRule="auto"/>
              <w:jc w:val="center"/>
              <w:rPr>
                <w:rFonts w:hint="eastAsia" w:ascii="宋体" w:hAnsi="宋体" w:cs="宋体"/>
                <w:color w:val="auto"/>
                <w:highlight w:val="none"/>
              </w:rPr>
            </w:pPr>
          </w:p>
        </w:tc>
        <w:tc>
          <w:tcPr>
            <w:tcW w:w="2356" w:type="dxa"/>
            <w:noWrap w:val="0"/>
            <w:vAlign w:val="center"/>
          </w:tcPr>
          <w:p w14:paraId="6CC3F316">
            <w:pPr>
              <w:spacing w:line="360" w:lineRule="auto"/>
              <w:jc w:val="center"/>
              <w:rPr>
                <w:rFonts w:hint="eastAsia" w:ascii="宋体" w:hAnsi="宋体" w:cs="宋体"/>
                <w:color w:val="auto"/>
                <w:highlight w:val="none"/>
              </w:rPr>
            </w:pPr>
          </w:p>
        </w:tc>
        <w:tc>
          <w:tcPr>
            <w:tcW w:w="1041" w:type="dxa"/>
            <w:noWrap w:val="0"/>
            <w:vAlign w:val="center"/>
          </w:tcPr>
          <w:p w14:paraId="65DCC478">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1341676C">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5F8E0A8E">
            <w:pPr>
              <w:spacing w:line="360" w:lineRule="auto"/>
              <w:jc w:val="center"/>
              <w:rPr>
                <w:rFonts w:hint="eastAsia" w:ascii="宋体" w:hAnsi="宋体" w:cs="宋体"/>
                <w:color w:val="auto"/>
                <w:highlight w:val="none"/>
              </w:rPr>
            </w:pPr>
          </w:p>
        </w:tc>
      </w:tr>
      <w:tr w14:paraId="4341D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48BE0C7E">
            <w:pP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c>
          <w:tcPr>
            <w:tcW w:w="1041" w:type="dxa"/>
            <w:noWrap w:val="0"/>
            <w:vAlign w:val="center"/>
          </w:tcPr>
          <w:p w14:paraId="5A4A2EB1">
            <w:pPr>
              <w:spacing w:line="360" w:lineRule="auto"/>
              <w:jc w:val="center"/>
              <w:rPr>
                <w:rFonts w:hint="eastAsia" w:ascii="宋体" w:hAnsi="宋体" w:cs="宋体"/>
                <w:color w:val="auto"/>
                <w:highlight w:val="none"/>
              </w:rPr>
            </w:pPr>
          </w:p>
        </w:tc>
        <w:tc>
          <w:tcPr>
            <w:tcW w:w="1041" w:type="dxa"/>
            <w:noWrap w:val="0"/>
            <w:vAlign w:val="center"/>
          </w:tcPr>
          <w:p w14:paraId="09F2F866">
            <w:pPr>
              <w:spacing w:line="360" w:lineRule="auto"/>
              <w:jc w:val="center"/>
              <w:rPr>
                <w:rFonts w:hint="eastAsia" w:ascii="宋体" w:hAnsi="宋体" w:cs="宋体"/>
                <w:color w:val="auto"/>
                <w:highlight w:val="none"/>
              </w:rPr>
            </w:pPr>
          </w:p>
        </w:tc>
        <w:tc>
          <w:tcPr>
            <w:tcW w:w="2356" w:type="dxa"/>
            <w:noWrap w:val="0"/>
            <w:vAlign w:val="center"/>
          </w:tcPr>
          <w:p w14:paraId="66B65514">
            <w:pPr>
              <w:spacing w:line="360" w:lineRule="auto"/>
              <w:jc w:val="center"/>
              <w:rPr>
                <w:rFonts w:hint="eastAsia" w:ascii="宋体" w:hAnsi="宋体" w:cs="宋体"/>
                <w:color w:val="auto"/>
                <w:highlight w:val="none"/>
              </w:rPr>
            </w:pPr>
          </w:p>
        </w:tc>
        <w:tc>
          <w:tcPr>
            <w:tcW w:w="1041" w:type="dxa"/>
            <w:noWrap w:val="0"/>
            <w:vAlign w:val="center"/>
          </w:tcPr>
          <w:p w14:paraId="27A78707">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4BEE99C4">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3348822A">
            <w:pPr>
              <w:spacing w:line="360" w:lineRule="auto"/>
              <w:jc w:val="center"/>
              <w:rPr>
                <w:rFonts w:hint="eastAsia" w:ascii="宋体" w:hAnsi="宋体" w:cs="宋体"/>
                <w:color w:val="auto"/>
                <w:highlight w:val="none"/>
              </w:rPr>
            </w:pPr>
          </w:p>
        </w:tc>
      </w:tr>
      <w:tr w14:paraId="35476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67309669">
            <w:pPr>
              <w:spacing w:line="360" w:lineRule="auto"/>
              <w:jc w:val="center"/>
              <w:rPr>
                <w:rFonts w:hint="eastAsia" w:ascii="宋体" w:hAnsi="宋体" w:cs="宋体"/>
                <w:color w:val="auto"/>
                <w:highlight w:val="none"/>
              </w:rPr>
            </w:pPr>
            <w:r>
              <w:rPr>
                <w:rFonts w:hint="eastAsia" w:ascii="宋体" w:hAnsi="宋体" w:cs="宋体"/>
                <w:color w:val="auto"/>
                <w:highlight w:val="none"/>
              </w:rPr>
              <w:t>4</w:t>
            </w:r>
          </w:p>
        </w:tc>
        <w:tc>
          <w:tcPr>
            <w:tcW w:w="1041" w:type="dxa"/>
            <w:noWrap w:val="0"/>
            <w:vAlign w:val="center"/>
          </w:tcPr>
          <w:p w14:paraId="2466D7FB">
            <w:pPr>
              <w:spacing w:line="360" w:lineRule="auto"/>
              <w:jc w:val="center"/>
              <w:rPr>
                <w:rFonts w:hint="eastAsia" w:ascii="宋体" w:hAnsi="宋体" w:cs="宋体"/>
                <w:color w:val="auto"/>
                <w:highlight w:val="none"/>
              </w:rPr>
            </w:pPr>
          </w:p>
        </w:tc>
        <w:tc>
          <w:tcPr>
            <w:tcW w:w="1041" w:type="dxa"/>
            <w:noWrap w:val="0"/>
            <w:vAlign w:val="center"/>
          </w:tcPr>
          <w:p w14:paraId="7784347C">
            <w:pPr>
              <w:spacing w:line="360" w:lineRule="auto"/>
              <w:jc w:val="center"/>
              <w:rPr>
                <w:rFonts w:hint="eastAsia" w:ascii="宋体" w:hAnsi="宋体" w:cs="宋体"/>
                <w:color w:val="auto"/>
                <w:highlight w:val="none"/>
              </w:rPr>
            </w:pPr>
          </w:p>
        </w:tc>
        <w:tc>
          <w:tcPr>
            <w:tcW w:w="2356" w:type="dxa"/>
            <w:noWrap w:val="0"/>
            <w:vAlign w:val="center"/>
          </w:tcPr>
          <w:p w14:paraId="52F651AB">
            <w:pPr>
              <w:spacing w:line="360" w:lineRule="auto"/>
              <w:jc w:val="center"/>
              <w:rPr>
                <w:rFonts w:hint="eastAsia" w:ascii="宋体" w:hAnsi="宋体" w:cs="宋体"/>
                <w:color w:val="auto"/>
                <w:highlight w:val="none"/>
              </w:rPr>
            </w:pPr>
          </w:p>
        </w:tc>
        <w:tc>
          <w:tcPr>
            <w:tcW w:w="1041" w:type="dxa"/>
            <w:noWrap w:val="0"/>
            <w:vAlign w:val="center"/>
          </w:tcPr>
          <w:p w14:paraId="0EDA7F79">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59527469">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6DADF9FE">
            <w:pPr>
              <w:spacing w:line="360" w:lineRule="auto"/>
              <w:jc w:val="center"/>
              <w:rPr>
                <w:rFonts w:hint="eastAsia" w:ascii="宋体" w:hAnsi="宋体" w:cs="宋体"/>
                <w:color w:val="auto"/>
                <w:highlight w:val="none"/>
              </w:rPr>
            </w:pPr>
          </w:p>
        </w:tc>
      </w:tr>
      <w:tr w14:paraId="7B34D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7" w:hRule="atLeast"/>
          <w:jc w:val="center"/>
        </w:trPr>
        <w:tc>
          <w:tcPr>
            <w:tcW w:w="551" w:type="dxa"/>
            <w:noWrap w:val="0"/>
            <w:vAlign w:val="center"/>
          </w:tcPr>
          <w:p w14:paraId="45227E56">
            <w:pPr>
              <w:spacing w:line="360" w:lineRule="auto"/>
              <w:jc w:val="center"/>
              <w:rPr>
                <w:rFonts w:hint="eastAsia" w:ascii="宋体" w:hAnsi="宋体" w:cs="宋体"/>
                <w:color w:val="auto"/>
                <w:highlight w:val="none"/>
              </w:rPr>
            </w:pPr>
            <w:r>
              <w:rPr>
                <w:rFonts w:hint="eastAsia" w:ascii="宋体" w:hAnsi="宋体" w:cs="宋体"/>
                <w:color w:val="auto"/>
                <w:highlight w:val="none"/>
              </w:rPr>
              <w:t>5</w:t>
            </w:r>
          </w:p>
        </w:tc>
        <w:tc>
          <w:tcPr>
            <w:tcW w:w="1041" w:type="dxa"/>
            <w:noWrap w:val="0"/>
            <w:vAlign w:val="center"/>
          </w:tcPr>
          <w:p w14:paraId="4724EA67">
            <w:pPr>
              <w:spacing w:line="360" w:lineRule="auto"/>
              <w:jc w:val="center"/>
              <w:rPr>
                <w:rFonts w:hint="eastAsia" w:ascii="宋体" w:hAnsi="宋体" w:cs="宋体"/>
                <w:color w:val="auto"/>
                <w:highlight w:val="none"/>
              </w:rPr>
            </w:pPr>
            <w:r>
              <w:rPr>
                <w:rFonts w:hint="eastAsia" w:ascii="宋体" w:hAnsi="宋体" w:cs="宋体"/>
                <w:color w:val="auto"/>
                <w:highlight w:val="none"/>
              </w:rPr>
              <w:t>……</w:t>
            </w:r>
          </w:p>
        </w:tc>
        <w:tc>
          <w:tcPr>
            <w:tcW w:w="1041" w:type="dxa"/>
            <w:noWrap w:val="0"/>
            <w:vAlign w:val="center"/>
          </w:tcPr>
          <w:p w14:paraId="41D0D982">
            <w:pPr>
              <w:spacing w:line="360" w:lineRule="auto"/>
              <w:jc w:val="center"/>
              <w:rPr>
                <w:rFonts w:hint="eastAsia" w:ascii="宋体" w:hAnsi="宋体" w:cs="宋体"/>
                <w:color w:val="auto"/>
                <w:highlight w:val="none"/>
              </w:rPr>
            </w:pPr>
          </w:p>
        </w:tc>
        <w:tc>
          <w:tcPr>
            <w:tcW w:w="2356" w:type="dxa"/>
            <w:noWrap w:val="0"/>
            <w:vAlign w:val="center"/>
          </w:tcPr>
          <w:p w14:paraId="76EEEC24">
            <w:pPr>
              <w:spacing w:line="360" w:lineRule="auto"/>
              <w:jc w:val="center"/>
              <w:rPr>
                <w:rFonts w:hint="eastAsia" w:ascii="宋体" w:hAnsi="宋体" w:cs="宋体"/>
                <w:color w:val="auto"/>
                <w:highlight w:val="none"/>
              </w:rPr>
            </w:pPr>
          </w:p>
        </w:tc>
        <w:tc>
          <w:tcPr>
            <w:tcW w:w="1041" w:type="dxa"/>
            <w:noWrap w:val="0"/>
            <w:vAlign w:val="center"/>
          </w:tcPr>
          <w:p w14:paraId="4B19049E">
            <w:pPr>
              <w:spacing w:line="360" w:lineRule="auto"/>
              <w:jc w:val="center"/>
              <w:rPr>
                <w:rFonts w:hint="eastAsia" w:ascii="宋体" w:hAnsi="宋体" w:cs="宋体"/>
                <w:color w:val="auto"/>
                <w:highlight w:val="none"/>
              </w:rPr>
            </w:pPr>
          </w:p>
        </w:tc>
        <w:tc>
          <w:tcPr>
            <w:tcW w:w="1530" w:type="dxa"/>
            <w:tcBorders>
              <w:right w:val="single" w:color="auto" w:sz="4" w:space="0"/>
            </w:tcBorders>
            <w:noWrap w:val="0"/>
            <w:vAlign w:val="center"/>
          </w:tcPr>
          <w:p w14:paraId="62156304">
            <w:pPr>
              <w:spacing w:line="360" w:lineRule="auto"/>
              <w:jc w:val="center"/>
              <w:rPr>
                <w:rFonts w:hint="eastAsia" w:ascii="宋体" w:hAnsi="宋体" w:cs="宋体"/>
                <w:color w:val="auto"/>
                <w:highlight w:val="none"/>
              </w:rPr>
            </w:pPr>
          </w:p>
        </w:tc>
        <w:tc>
          <w:tcPr>
            <w:tcW w:w="2017" w:type="dxa"/>
            <w:tcBorders>
              <w:left w:val="single" w:color="auto" w:sz="4" w:space="0"/>
            </w:tcBorders>
            <w:noWrap w:val="0"/>
            <w:vAlign w:val="center"/>
          </w:tcPr>
          <w:p w14:paraId="0CDDEA44">
            <w:pPr>
              <w:spacing w:line="360" w:lineRule="auto"/>
              <w:jc w:val="center"/>
              <w:rPr>
                <w:rFonts w:hint="eastAsia" w:ascii="宋体" w:hAnsi="宋体" w:cs="宋体"/>
                <w:color w:val="auto"/>
                <w:highlight w:val="none"/>
              </w:rPr>
            </w:pPr>
          </w:p>
        </w:tc>
      </w:tr>
    </w:tbl>
    <w:p w14:paraId="60E8B2A2">
      <w:pPr>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备注：</w:t>
      </w:r>
      <w:r>
        <w:rPr>
          <w:rFonts w:hint="eastAsia" w:ascii="宋体" w:hAnsi="宋体" w:eastAsia="宋体" w:cs="宋体"/>
          <w:color w:val="auto"/>
          <w:szCs w:val="21"/>
          <w:highlight w:val="none"/>
        </w:rPr>
        <w:t>供应商近年</w:t>
      </w:r>
      <w:r>
        <w:rPr>
          <w:rFonts w:hint="eastAsia"/>
          <w:highlight w:val="none"/>
        </w:rPr>
        <w:t>近年（</w:t>
      </w:r>
      <w:r>
        <w:rPr>
          <w:rFonts w:hint="eastAsia"/>
          <w:highlight w:val="none"/>
          <w:lang w:eastAsia="zh-CN"/>
        </w:rPr>
        <w:t>2023年1月1日</w:t>
      </w:r>
      <w:r>
        <w:rPr>
          <w:rFonts w:hint="eastAsia"/>
          <w:highlight w:val="none"/>
        </w:rPr>
        <w:t>至今）至少承担过1个类似业绩，类似业绩是指</w:t>
      </w:r>
      <w:r>
        <w:rPr>
          <w:rFonts w:hint="eastAsia"/>
          <w:b/>
          <w:bCs/>
          <w:highlight w:val="none"/>
          <w:u w:val="none"/>
          <w:lang w:val="en-US" w:eastAsia="zh-CN"/>
        </w:rPr>
        <w:t>生产型企业相关</w:t>
      </w:r>
      <w:r>
        <w:rPr>
          <w:rFonts w:hint="eastAsia"/>
          <w:b/>
          <w:bCs/>
          <w:highlight w:val="none"/>
          <w:u w:val="none"/>
        </w:rPr>
        <w:t>劳务</w:t>
      </w:r>
      <w:r>
        <w:rPr>
          <w:rFonts w:hint="eastAsia"/>
          <w:b/>
          <w:bCs/>
          <w:highlight w:val="none"/>
          <w:u w:val="none"/>
          <w:lang w:val="en-US" w:eastAsia="zh-CN"/>
        </w:rPr>
        <w:t>承包业绩</w:t>
      </w:r>
      <w:r>
        <w:rPr>
          <w:rFonts w:hint="eastAsia" w:ascii="宋体" w:hAnsi="宋体" w:eastAsia="宋体" w:cs="宋体"/>
          <w:color w:val="auto"/>
          <w:szCs w:val="21"/>
          <w:highlight w:val="none"/>
          <w:lang w:val="en-US" w:eastAsia="zh-CN"/>
        </w:rPr>
        <w:t>：</w:t>
      </w:r>
      <w:r>
        <w:rPr>
          <w:rFonts w:hint="eastAsia"/>
          <w:highlight w:val="none"/>
        </w:rPr>
        <w:t>需提供业绩证明材料（业绩证明材料是指中标通知书或合同协议书）</w:t>
      </w:r>
      <w:r>
        <w:rPr>
          <w:rFonts w:hint="eastAsia" w:ascii="宋体" w:hAnsi="宋体" w:eastAsia="宋体" w:cs="宋体"/>
          <w:color w:val="auto"/>
          <w:szCs w:val="21"/>
          <w:highlight w:val="none"/>
        </w:rPr>
        <w:t>。</w:t>
      </w:r>
    </w:p>
    <w:p w14:paraId="748602F5">
      <w:pPr>
        <w:snapToGrid w:val="0"/>
        <w:spacing w:line="360" w:lineRule="auto"/>
        <w:rPr>
          <w:rFonts w:hint="eastAsia" w:ascii="宋体" w:hAnsi="宋体" w:cs="宋体"/>
          <w:b/>
          <w:color w:val="auto"/>
          <w:szCs w:val="21"/>
          <w:highlight w:val="none"/>
        </w:rPr>
      </w:pPr>
    </w:p>
    <w:p w14:paraId="3DBDC5F5">
      <w:pPr>
        <w:adjustRightInd w:val="0"/>
        <w:snapToGrid w:val="0"/>
        <w:spacing w:line="360" w:lineRule="auto"/>
        <w:rPr>
          <w:rFonts w:hint="eastAsia" w:ascii="宋体" w:hAnsi="宋体" w:cs="宋体"/>
          <w:color w:val="auto"/>
          <w:szCs w:val="21"/>
          <w:highlight w:val="none"/>
        </w:rPr>
      </w:pPr>
    </w:p>
    <w:p w14:paraId="0E2B7097">
      <w:pPr>
        <w:adjustRightInd w:val="0"/>
        <w:snapToGrid w:val="0"/>
        <w:spacing w:line="360" w:lineRule="auto"/>
        <w:rPr>
          <w:rFonts w:hint="eastAsia" w:ascii="宋体" w:hAnsi="宋体" w:cs="宋体"/>
          <w:color w:val="auto"/>
          <w:szCs w:val="21"/>
          <w:highlight w:val="none"/>
        </w:rPr>
      </w:pPr>
    </w:p>
    <w:p w14:paraId="11F3A6AC">
      <w:pPr>
        <w:adjustRightInd w:val="0"/>
        <w:snapToGrid w:val="0"/>
        <w:spacing w:line="360" w:lineRule="auto"/>
        <w:rPr>
          <w:rFonts w:hint="eastAsia" w:ascii="宋体" w:hAnsi="宋体" w:cs="宋体"/>
          <w:color w:val="auto"/>
          <w:szCs w:val="21"/>
          <w:highlight w:val="none"/>
        </w:rPr>
      </w:pPr>
    </w:p>
    <w:p w14:paraId="02133502">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供应商（盖单位公章）：</w:t>
      </w:r>
      <w:r>
        <w:rPr>
          <w:rFonts w:hint="eastAsia" w:ascii="宋体" w:hAnsi="宋体" w:cs="宋体"/>
          <w:color w:val="auto"/>
          <w:szCs w:val="21"/>
          <w:highlight w:val="none"/>
          <w:u w:val="single"/>
        </w:rPr>
        <w:t>　　　　　　　　　　　　</w:t>
      </w:r>
    </w:p>
    <w:p w14:paraId="0F41C3DC">
      <w:pPr>
        <w:adjustRightInd w:val="0"/>
        <w:snapToGrid w:val="0"/>
        <w:spacing w:line="360" w:lineRule="auto"/>
        <w:rPr>
          <w:rFonts w:hint="eastAsia" w:ascii="宋体" w:hAnsi="宋体" w:cs="宋体"/>
          <w:color w:val="auto"/>
          <w:szCs w:val="21"/>
          <w:highlight w:val="none"/>
          <w:u w:val="single"/>
        </w:rPr>
      </w:pPr>
    </w:p>
    <w:p w14:paraId="19426A1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w:t>
      </w:r>
    </w:p>
    <w:p w14:paraId="59EA3F53">
      <w:pPr>
        <w:adjustRightInd w:val="0"/>
        <w:snapToGrid w:val="0"/>
        <w:spacing w:line="360" w:lineRule="auto"/>
        <w:rPr>
          <w:rFonts w:hint="eastAsia" w:ascii="宋体" w:hAnsi="宋体" w:cs="宋体"/>
          <w:color w:val="auto"/>
          <w:szCs w:val="21"/>
          <w:highlight w:val="none"/>
        </w:rPr>
      </w:pPr>
    </w:p>
    <w:p w14:paraId="3CE559F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3081752">
      <w:pPr>
        <w:spacing w:line="360" w:lineRule="auto"/>
        <w:jc w:val="both"/>
        <w:outlineLvl w:val="2"/>
        <w:rPr>
          <w:rFonts w:hint="eastAsia" w:ascii="宋体" w:hAnsi="宋体" w:cs="宋体"/>
          <w:b/>
          <w:bCs/>
          <w:color w:val="auto"/>
          <w:highlight w:val="none"/>
        </w:rPr>
      </w:pPr>
      <w:bookmarkStart w:id="435" w:name="_Toc24251"/>
      <w:bookmarkStart w:id="436" w:name="_Toc21897"/>
      <w:bookmarkStart w:id="437" w:name="_Toc9787"/>
      <w:bookmarkStart w:id="438" w:name="_Toc32085"/>
      <w:bookmarkStart w:id="439" w:name="_Toc23874"/>
      <w:bookmarkStart w:id="440" w:name="_Toc30477"/>
      <w:r>
        <w:rPr>
          <w:rFonts w:hint="eastAsia" w:ascii="宋体" w:hAnsi="宋体" w:cs="宋体"/>
          <w:b/>
          <w:bCs/>
          <w:color w:val="auto"/>
          <w:highlight w:val="none"/>
        </w:rPr>
        <w:br w:type="page"/>
      </w:r>
      <w:bookmarkStart w:id="441" w:name="_Toc16966"/>
      <w:bookmarkStart w:id="442" w:name="_Toc26921"/>
      <w:bookmarkStart w:id="443" w:name="_Toc21797"/>
      <w:bookmarkStart w:id="444" w:name="_Toc31309"/>
      <w:bookmarkStart w:id="445" w:name="_Toc28495"/>
      <w:r>
        <w:rPr>
          <w:rFonts w:hint="eastAsia" w:ascii="宋体" w:hAnsi="宋体" w:cs="宋体"/>
          <w:b/>
          <w:bCs/>
          <w:color w:val="auto"/>
          <w:highlight w:val="none"/>
        </w:rPr>
        <w:t>（二）商务条款偏离表</w:t>
      </w:r>
      <w:bookmarkEnd w:id="435"/>
      <w:bookmarkEnd w:id="436"/>
      <w:bookmarkEnd w:id="437"/>
      <w:bookmarkEnd w:id="438"/>
      <w:bookmarkEnd w:id="439"/>
      <w:bookmarkEnd w:id="440"/>
      <w:bookmarkEnd w:id="441"/>
      <w:bookmarkEnd w:id="442"/>
      <w:bookmarkEnd w:id="443"/>
      <w:bookmarkEnd w:id="444"/>
      <w:bookmarkEnd w:id="445"/>
    </w:p>
    <w:p w14:paraId="5D06EEE9">
      <w:pPr>
        <w:adjustRightInd w:val="0"/>
        <w:snapToGrid w:val="0"/>
        <w:spacing w:line="360" w:lineRule="auto"/>
        <w:ind w:firstLine="200"/>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w:t>
      </w:r>
    </w:p>
    <w:p w14:paraId="4FC8E7A8">
      <w:pPr>
        <w:adjustRightInd w:val="0"/>
        <w:snapToGrid w:val="0"/>
        <w:spacing w:line="360" w:lineRule="auto"/>
        <w:ind w:firstLine="200"/>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668"/>
        <w:gridCol w:w="2687"/>
        <w:gridCol w:w="2687"/>
        <w:gridCol w:w="2042"/>
      </w:tblGrid>
      <w:tr w14:paraId="20BF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413646F3">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68" w:type="dxa"/>
            <w:noWrap w:val="0"/>
            <w:vAlign w:val="center"/>
          </w:tcPr>
          <w:p w14:paraId="4B88C177">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竞争性谈判文件条目号</w:t>
            </w:r>
          </w:p>
        </w:tc>
        <w:tc>
          <w:tcPr>
            <w:tcW w:w="2687" w:type="dxa"/>
            <w:noWrap w:val="0"/>
            <w:vAlign w:val="center"/>
          </w:tcPr>
          <w:p w14:paraId="6A583EA9">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竞争性谈判文件的商务条款</w:t>
            </w:r>
          </w:p>
        </w:tc>
        <w:tc>
          <w:tcPr>
            <w:tcW w:w="2687" w:type="dxa"/>
            <w:noWrap w:val="0"/>
            <w:vAlign w:val="center"/>
          </w:tcPr>
          <w:p w14:paraId="6763DE1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响应文件的商务条款</w:t>
            </w:r>
          </w:p>
        </w:tc>
        <w:tc>
          <w:tcPr>
            <w:tcW w:w="2042" w:type="dxa"/>
            <w:noWrap w:val="0"/>
            <w:vAlign w:val="center"/>
          </w:tcPr>
          <w:p w14:paraId="78FE4E86">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1A0E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4DF37B6">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5C0E6BB9">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7DB23D9D">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6A10CAFA">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5AF7881B">
            <w:pPr>
              <w:adjustRightInd w:val="0"/>
              <w:snapToGrid w:val="0"/>
              <w:spacing w:line="360" w:lineRule="auto"/>
              <w:jc w:val="center"/>
              <w:rPr>
                <w:rFonts w:hint="eastAsia" w:ascii="宋体" w:hAnsi="宋体" w:cs="宋体"/>
                <w:color w:val="auto"/>
                <w:szCs w:val="21"/>
                <w:highlight w:val="none"/>
              </w:rPr>
            </w:pPr>
          </w:p>
        </w:tc>
      </w:tr>
      <w:tr w14:paraId="6645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26AD8997">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28558E46">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39E26074">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6789C7B7">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7B258C4B">
            <w:pPr>
              <w:adjustRightInd w:val="0"/>
              <w:snapToGrid w:val="0"/>
              <w:spacing w:line="360" w:lineRule="auto"/>
              <w:jc w:val="center"/>
              <w:rPr>
                <w:rFonts w:hint="eastAsia" w:ascii="宋体" w:hAnsi="宋体" w:cs="宋体"/>
                <w:color w:val="auto"/>
                <w:szCs w:val="21"/>
                <w:highlight w:val="none"/>
              </w:rPr>
            </w:pPr>
          </w:p>
        </w:tc>
      </w:tr>
      <w:tr w14:paraId="5359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5E35BBA3">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75EB57D9">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BD0F60B">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51AE550">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55DFB35C">
            <w:pPr>
              <w:adjustRightInd w:val="0"/>
              <w:snapToGrid w:val="0"/>
              <w:spacing w:line="360" w:lineRule="auto"/>
              <w:jc w:val="center"/>
              <w:rPr>
                <w:rFonts w:hint="eastAsia" w:ascii="宋体" w:hAnsi="宋体" w:cs="宋体"/>
                <w:color w:val="auto"/>
                <w:szCs w:val="21"/>
                <w:highlight w:val="none"/>
              </w:rPr>
            </w:pPr>
          </w:p>
        </w:tc>
      </w:tr>
      <w:tr w14:paraId="0E59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CBC34EA">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68A85264">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5E4B40B2">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72D21EB">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7F6C8D88">
            <w:pPr>
              <w:adjustRightInd w:val="0"/>
              <w:snapToGrid w:val="0"/>
              <w:spacing w:line="360" w:lineRule="auto"/>
              <w:jc w:val="center"/>
              <w:rPr>
                <w:rFonts w:hint="eastAsia" w:ascii="宋体" w:hAnsi="宋体" w:cs="宋体"/>
                <w:color w:val="auto"/>
                <w:szCs w:val="21"/>
                <w:highlight w:val="none"/>
              </w:rPr>
            </w:pPr>
          </w:p>
        </w:tc>
      </w:tr>
      <w:tr w14:paraId="01E1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D7F82F2">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14A3C3D3">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5BAB8608">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1E275B1">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693563CD">
            <w:pPr>
              <w:adjustRightInd w:val="0"/>
              <w:snapToGrid w:val="0"/>
              <w:spacing w:line="360" w:lineRule="auto"/>
              <w:jc w:val="center"/>
              <w:rPr>
                <w:rFonts w:hint="eastAsia" w:ascii="宋体" w:hAnsi="宋体" w:cs="宋体"/>
                <w:color w:val="auto"/>
                <w:szCs w:val="21"/>
                <w:highlight w:val="none"/>
              </w:rPr>
            </w:pPr>
          </w:p>
        </w:tc>
      </w:tr>
      <w:tr w14:paraId="0278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5AC30AC0">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5BD109B3">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1E4C17DF">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29827E08">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449AC534">
            <w:pPr>
              <w:adjustRightInd w:val="0"/>
              <w:snapToGrid w:val="0"/>
              <w:spacing w:line="360" w:lineRule="auto"/>
              <w:jc w:val="center"/>
              <w:rPr>
                <w:rFonts w:hint="eastAsia" w:ascii="宋体" w:hAnsi="宋体" w:cs="宋体"/>
                <w:color w:val="auto"/>
                <w:szCs w:val="21"/>
                <w:highlight w:val="none"/>
              </w:rPr>
            </w:pPr>
          </w:p>
        </w:tc>
      </w:tr>
      <w:tr w14:paraId="09E6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33DD60C">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4DC4B8F7">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68751B58">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4DE7B55B">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55C727DB">
            <w:pPr>
              <w:adjustRightInd w:val="0"/>
              <w:snapToGrid w:val="0"/>
              <w:spacing w:line="360" w:lineRule="auto"/>
              <w:jc w:val="center"/>
              <w:rPr>
                <w:rFonts w:hint="eastAsia" w:ascii="宋体" w:hAnsi="宋体" w:cs="宋体"/>
                <w:color w:val="auto"/>
                <w:szCs w:val="21"/>
                <w:highlight w:val="none"/>
              </w:rPr>
            </w:pPr>
          </w:p>
        </w:tc>
      </w:tr>
      <w:tr w14:paraId="2C06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7FF5A4FF">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4E8CF66E">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59660834">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69F009CD">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2432B40C">
            <w:pPr>
              <w:adjustRightInd w:val="0"/>
              <w:snapToGrid w:val="0"/>
              <w:spacing w:line="360" w:lineRule="auto"/>
              <w:jc w:val="center"/>
              <w:rPr>
                <w:rFonts w:hint="eastAsia" w:ascii="宋体" w:hAnsi="宋体" w:cs="宋体"/>
                <w:color w:val="auto"/>
                <w:szCs w:val="21"/>
                <w:highlight w:val="none"/>
              </w:rPr>
            </w:pPr>
          </w:p>
        </w:tc>
      </w:tr>
      <w:tr w14:paraId="79CC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6C65BC89">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430BC390">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3D9D930A">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7D794283">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6A18E537">
            <w:pPr>
              <w:adjustRightInd w:val="0"/>
              <w:snapToGrid w:val="0"/>
              <w:spacing w:line="360" w:lineRule="auto"/>
              <w:jc w:val="center"/>
              <w:rPr>
                <w:rFonts w:hint="eastAsia" w:ascii="宋体" w:hAnsi="宋体" w:cs="宋体"/>
                <w:color w:val="auto"/>
                <w:szCs w:val="21"/>
                <w:highlight w:val="none"/>
              </w:rPr>
            </w:pPr>
          </w:p>
        </w:tc>
      </w:tr>
      <w:tr w14:paraId="4CBA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1EFAE646">
            <w:pPr>
              <w:adjustRightInd w:val="0"/>
              <w:snapToGrid w:val="0"/>
              <w:spacing w:line="360" w:lineRule="auto"/>
              <w:jc w:val="center"/>
              <w:rPr>
                <w:rFonts w:hint="eastAsia" w:ascii="宋体" w:hAnsi="宋体" w:cs="宋体"/>
                <w:color w:val="auto"/>
                <w:szCs w:val="21"/>
                <w:highlight w:val="none"/>
              </w:rPr>
            </w:pPr>
          </w:p>
        </w:tc>
        <w:tc>
          <w:tcPr>
            <w:tcW w:w="1668" w:type="dxa"/>
            <w:noWrap w:val="0"/>
            <w:vAlign w:val="top"/>
          </w:tcPr>
          <w:p w14:paraId="3EEAE986">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54454458">
            <w:pPr>
              <w:adjustRightInd w:val="0"/>
              <w:snapToGrid w:val="0"/>
              <w:spacing w:line="360" w:lineRule="auto"/>
              <w:jc w:val="center"/>
              <w:rPr>
                <w:rFonts w:hint="eastAsia" w:ascii="宋体" w:hAnsi="宋体" w:cs="宋体"/>
                <w:color w:val="auto"/>
                <w:szCs w:val="21"/>
                <w:highlight w:val="none"/>
              </w:rPr>
            </w:pPr>
          </w:p>
        </w:tc>
        <w:tc>
          <w:tcPr>
            <w:tcW w:w="2687" w:type="dxa"/>
            <w:noWrap w:val="0"/>
            <w:vAlign w:val="top"/>
          </w:tcPr>
          <w:p w14:paraId="1D850610">
            <w:pPr>
              <w:adjustRightInd w:val="0"/>
              <w:snapToGrid w:val="0"/>
              <w:spacing w:line="360" w:lineRule="auto"/>
              <w:jc w:val="center"/>
              <w:rPr>
                <w:rFonts w:hint="eastAsia" w:ascii="宋体" w:hAnsi="宋体" w:cs="宋体"/>
                <w:color w:val="auto"/>
                <w:szCs w:val="21"/>
                <w:highlight w:val="none"/>
              </w:rPr>
            </w:pPr>
          </w:p>
        </w:tc>
        <w:tc>
          <w:tcPr>
            <w:tcW w:w="2042" w:type="dxa"/>
            <w:noWrap w:val="0"/>
            <w:vAlign w:val="top"/>
          </w:tcPr>
          <w:p w14:paraId="0B10A1C6">
            <w:pPr>
              <w:adjustRightInd w:val="0"/>
              <w:snapToGrid w:val="0"/>
              <w:spacing w:line="360" w:lineRule="auto"/>
              <w:jc w:val="center"/>
              <w:rPr>
                <w:rFonts w:hint="eastAsia" w:ascii="宋体" w:hAnsi="宋体" w:cs="宋体"/>
                <w:color w:val="auto"/>
                <w:szCs w:val="21"/>
                <w:highlight w:val="none"/>
              </w:rPr>
            </w:pPr>
          </w:p>
        </w:tc>
      </w:tr>
    </w:tbl>
    <w:p w14:paraId="539BB939">
      <w:pPr>
        <w:pStyle w:val="24"/>
        <w:snapToGrid w:val="0"/>
        <w:spacing w:line="360" w:lineRule="auto"/>
        <w:rPr>
          <w:rFonts w:hint="eastAsia" w:hAnsi="宋体" w:cs="宋体"/>
          <w:color w:val="auto"/>
          <w:sz w:val="24"/>
          <w:highlight w:val="none"/>
        </w:rPr>
      </w:pPr>
    </w:p>
    <w:p w14:paraId="244DC8D6">
      <w:pPr>
        <w:pStyle w:val="24"/>
        <w:snapToGrid w:val="0"/>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注：</w:t>
      </w:r>
    </w:p>
    <w:p w14:paraId="625D4B75">
      <w:pPr>
        <w:pStyle w:val="24"/>
        <w:snapToGrid w:val="0"/>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1.请逐条对应竞争性谈判文件的“</w:t>
      </w:r>
      <w:r>
        <w:rPr>
          <w:rFonts w:hint="eastAsia" w:hAnsi="宋体" w:cs="宋体"/>
          <w:b/>
          <w:bCs/>
          <w:color w:val="auto"/>
          <w:sz w:val="21"/>
          <w:szCs w:val="21"/>
          <w:highlight w:val="none"/>
          <w:lang w:eastAsia="zh-CN"/>
        </w:rPr>
        <w:t>采购人需求</w:t>
      </w:r>
      <w:r>
        <w:rPr>
          <w:rFonts w:hint="eastAsia" w:hAnsi="宋体" w:cs="宋体"/>
          <w:b/>
          <w:bCs/>
          <w:color w:val="auto"/>
          <w:sz w:val="21"/>
          <w:szCs w:val="21"/>
          <w:highlight w:val="none"/>
        </w:rPr>
        <w:t>”中的物资采购清单和“合同条款资料表”中要求的商务条件，认真填写该表。</w:t>
      </w:r>
    </w:p>
    <w:p w14:paraId="54754932">
      <w:pPr>
        <w:pStyle w:val="24"/>
        <w:snapToGrid w:val="0"/>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2.“偏离”系指“正偏离”、“负偏离”或“无偏离”。</w:t>
      </w:r>
    </w:p>
    <w:p w14:paraId="5F1A008E">
      <w:pPr>
        <w:pStyle w:val="24"/>
        <w:snapToGrid w:val="0"/>
        <w:spacing w:line="360" w:lineRule="auto"/>
        <w:rPr>
          <w:rFonts w:hint="eastAsia" w:hAnsi="宋体" w:cs="宋体"/>
          <w:color w:val="auto"/>
          <w:sz w:val="21"/>
          <w:szCs w:val="21"/>
          <w:highlight w:val="none"/>
        </w:rPr>
      </w:pPr>
      <w:r>
        <w:rPr>
          <w:rFonts w:hint="eastAsia" w:hAnsi="宋体" w:cs="宋体"/>
          <w:b/>
          <w:bCs/>
          <w:color w:val="auto"/>
          <w:sz w:val="21"/>
          <w:szCs w:val="21"/>
          <w:highlight w:val="none"/>
        </w:rPr>
        <w:t>3.如无偏差，供应商不需要填表，但应声明：“本响应文件完全响应竞争性谈判文件所有条款的要求，无偏差。”</w:t>
      </w:r>
    </w:p>
    <w:p w14:paraId="33EF80F9">
      <w:pPr>
        <w:pStyle w:val="24"/>
        <w:snapToGrid w:val="0"/>
        <w:spacing w:line="360" w:lineRule="auto"/>
        <w:rPr>
          <w:rFonts w:hint="eastAsia" w:hAnsi="宋体" w:cs="宋体"/>
          <w:color w:val="auto"/>
          <w:sz w:val="21"/>
          <w:szCs w:val="21"/>
          <w:highlight w:val="none"/>
        </w:rPr>
      </w:pPr>
    </w:p>
    <w:p w14:paraId="0177BE23">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供应商（盖单位公章）：</w:t>
      </w:r>
      <w:r>
        <w:rPr>
          <w:rFonts w:hint="eastAsia" w:ascii="宋体" w:hAnsi="宋体" w:cs="宋体"/>
          <w:color w:val="auto"/>
          <w:szCs w:val="21"/>
          <w:highlight w:val="none"/>
          <w:u w:val="single"/>
        </w:rPr>
        <w:t>　　　　　　　　　　　　</w:t>
      </w:r>
    </w:p>
    <w:p w14:paraId="34B3C576">
      <w:pPr>
        <w:adjustRightInd w:val="0"/>
        <w:snapToGrid w:val="0"/>
        <w:spacing w:line="360" w:lineRule="auto"/>
        <w:rPr>
          <w:rFonts w:hint="eastAsia" w:ascii="宋体" w:hAnsi="宋体" w:cs="宋体"/>
          <w:color w:val="auto"/>
          <w:szCs w:val="21"/>
          <w:highlight w:val="none"/>
          <w:u w:val="single"/>
        </w:rPr>
      </w:pPr>
    </w:p>
    <w:p w14:paraId="30F31E5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w:t>
      </w:r>
    </w:p>
    <w:p w14:paraId="6C75B910">
      <w:pPr>
        <w:adjustRightInd w:val="0"/>
        <w:snapToGrid w:val="0"/>
        <w:spacing w:line="360" w:lineRule="auto"/>
        <w:rPr>
          <w:rFonts w:hint="eastAsia" w:ascii="宋体" w:hAnsi="宋体" w:cs="宋体"/>
          <w:color w:val="auto"/>
          <w:szCs w:val="21"/>
          <w:highlight w:val="none"/>
        </w:rPr>
      </w:pPr>
    </w:p>
    <w:p w14:paraId="493C6BA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D121B23">
      <w:pPr>
        <w:pStyle w:val="3"/>
        <w:spacing w:line="360" w:lineRule="auto"/>
        <w:rPr>
          <w:rFonts w:hint="eastAsia" w:ascii="宋体" w:hAnsi="宋体" w:cs="宋体"/>
          <w:color w:val="auto"/>
          <w:sz w:val="32"/>
          <w:highlight w:val="none"/>
        </w:rPr>
      </w:pPr>
      <w:r>
        <w:rPr>
          <w:rFonts w:hint="eastAsia" w:ascii="宋体" w:hAnsi="宋体" w:cs="宋体"/>
          <w:color w:val="auto"/>
          <w:highlight w:val="none"/>
        </w:rPr>
        <w:br w:type="page"/>
      </w:r>
      <w:bookmarkStart w:id="446" w:name="_Toc11038"/>
      <w:bookmarkStart w:id="447" w:name="_Toc14137"/>
      <w:bookmarkStart w:id="448" w:name="_Toc20321"/>
      <w:bookmarkStart w:id="449" w:name="_Toc7568"/>
      <w:bookmarkStart w:id="450" w:name="_Toc19547"/>
      <w:bookmarkStart w:id="451" w:name="_Toc6382"/>
      <w:bookmarkStart w:id="452" w:name="_Toc2834"/>
      <w:bookmarkStart w:id="453" w:name="_Toc14304"/>
      <w:bookmarkStart w:id="454" w:name="_Toc28427"/>
      <w:bookmarkStart w:id="455" w:name="_Toc26605"/>
      <w:bookmarkStart w:id="456" w:name="_Toc4725"/>
      <w:bookmarkStart w:id="457" w:name="_Toc21837"/>
      <w:bookmarkStart w:id="458" w:name="_Toc4979"/>
      <w:r>
        <w:rPr>
          <w:rFonts w:hint="eastAsia" w:ascii="宋体" w:hAnsi="宋体" w:cs="宋体"/>
          <w:color w:val="auto"/>
          <w:szCs w:val="28"/>
          <w:highlight w:val="none"/>
        </w:rPr>
        <w:t>四、技术部分</w:t>
      </w:r>
      <w:bookmarkEnd w:id="430"/>
      <w:bookmarkEnd w:id="431"/>
      <w:bookmarkEnd w:id="432"/>
      <w:bookmarkEnd w:id="433"/>
      <w:bookmarkEnd w:id="434"/>
      <w:bookmarkEnd w:id="446"/>
      <w:bookmarkEnd w:id="447"/>
      <w:bookmarkEnd w:id="448"/>
      <w:bookmarkEnd w:id="449"/>
      <w:bookmarkEnd w:id="450"/>
      <w:bookmarkEnd w:id="451"/>
      <w:bookmarkEnd w:id="452"/>
      <w:bookmarkEnd w:id="453"/>
      <w:bookmarkEnd w:id="454"/>
      <w:bookmarkEnd w:id="455"/>
      <w:bookmarkEnd w:id="456"/>
      <w:bookmarkEnd w:id="457"/>
      <w:bookmarkEnd w:id="458"/>
    </w:p>
    <w:p w14:paraId="0E9878CE">
      <w:pPr>
        <w:adjustRightInd w:val="0"/>
        <w:snapToGrid w:val="0"/>
        <w:spacing w:line="360" w:lineRule="auto"/>
        <w:jc w:val="left"/>
        <w:outlineLvl w:val="2"/>
        <w:rPr>
          <w:rFonts w:hint="eastAsia" w:ascii="宋体" w:hAnsi="宋体" w:cs="宋体"/>
          <w:b/>
          <w:color w:val="auto"/>
          <w:highlight w:val="none"/>
        </w:rPr>
      </w:pPr>
      <w:bookmarkStart w:id="459" w:name="_Toc9093"/>
      <w:bookmarkStart w:id="460" w:name="_Toc14142"/>
      <w:bookmarkStart w:id="461" w:name="_Toc18543"/>
      <w:bookmarkStart w:id="462" w:name="_Toc31502"/>
      <w:bookmarkStart w:id="463" w:name="_Toc22143"/>
      <w:bookmarkStart w:id="464" w:name="_Toc23256"/>
      <w:bookmarkStart w:id="465" w:name="_Toc20973"/>
      <w:bookmarkStart w:id="466" w:name="_Toc30465"/>
      <w:bookmarkStart w:id="467" w:name="_Toc26353"/>
      <w:bookmarkStart w:id="468" w:name="_Toc12549"/>
      <w:bookmarkStart w:id="469" w:name="_Toc26442"/>
      <w:r>
        <w:rPr>
          <w:rFonts w:hint="eastAsia" w:ascii="宋体" w:hAnsi="宋体" w:cs="宋体"/>
          <w:b/>
          <w:color w:val="auto"/>
          <w:highlight w:val="none"/>
        </w:rPr>
        <w:t>（一）</w:t>
      </w:r>
      <w:bookmarkEnd w:id="459"/>
      <w:bookmarkEnd w:id="460"/>
      <w:bookmarkEnd w:id="461"/>
      <w:bookmarkEnd w:id="462"/>
      <w:bookmarkEnd w:id="463"/>
      <w:bookmarkEnd w:id="464"/>
      <w:bookmarkEnd w:id="465"/>
      <w:bookmarkEnd w:id="466"/>
      <w:bookmarkEnd w:id="467"/>
      <w:bookmarkEnd w:id="468"/>
      <w:r>
        <w:rPr>
          <w:rFonts w:hint="eastAsia" w:ascii="宋体" w:hAnsi="宋体" w:cs="宋体"/>
          <w:b/>
          <w:color w:val="auto"/>
          <w:highlight w:val="none"/>
        </w:rPr>
        <w:t>服务实施方案</w:t>
      </w:r>
      <w:bookmarkEnd w:id="469"/>
    </w:p>
    <w:p w14:paraId="51622393">
      <w:pPr>
        <w:pStyle w:val="314"/>
        <w:spacing w:line="360" w:lineRule="auto"/>
        <w:ind w:firstLine="420" w:firstLineChars="200"/>
        <w:jc w:val="left"/>
        <w:rPr>
          <w:rFonts w:hint="eastAsia" w:ascii="宋体" w:hAnsi="宋体" w:cs="宋体"/>
          <w:color w:val="auto"/>
          <w:sz w:val="21"/>
          <w:szCs w:val="21"/>
          <w:highlight w:val="none"/>
        </w:rPr>
      </w:pPr>
      <w:bookmarkStart w:id="470" w:name="_Toc16161"/>
      <w:r>
        <w:rPr>
          <w:rFonts w:hint="eastAsia" w:ascii="宋体" w:hAnsi="宋体" w:cs="宋体"/>
          <w:color w:val="auto"/>
          <w:sz w:val="21"/>
          <w:szCs w:val="21"/>
          <w:highlight w:val="none"/>
        </w:rPr>
        <w:t>（供应商自行编制，格式自拟）</w:t>
      </w:r>
    </w:p>
    <w:p w14:paraId="76E24907">
      <w:pPr>
        <w:pStyle w:val="314"/>
        <w:spacing w:line="360" w:lineRule="auto"/>
        <w:ind w:firstLine="420" w:firstLineChars="200"/>
        <w:jc w:val="left"/>
        <w:rPr>
          <w:rFonts w:hint="eastAsia" w:ascii="宋体" w:hAnsi="宋体" w:cs="宋体"/>
          <w:color w:val="auto"/>
          <w:sz w:val="21"/>
          <w:szCs w:val="21"/>
          <w:highlight w:val="none"/>
        </w:rPr>
      </w:pPr>
    </w:p>
    <w:p w14:paraId="3083E06E">
      <w:pPr>
        <w:adjustRightInd w:val="0"/>
        <w:snapToGrid w:val="0"/>
        <w:spacing w:line="360" w:lineRule="auto"/>
        <w:jc w:val="left"/>
        <w:outlineLvl w:val="2"/>
        <w:rPr>
          <w:rFonts w:hint="eastAsia" w:ascii="宋体" w:hAnsi="宋体" w:eastAsia="宋体" w:cs="宋体"/>
          <w:color w:val="auto"/>
          <w:kern w:val="0"/>
          <w:szCs w:val="21"/>
          <w:highlight w:val="none"/>
          <w:lang w:eastAsia="zh-CN"/>
        </w:rPr>
      </w:pPr>
      <w:bookmarkStart w:id="471" w:name="_Toc27820"/>
      <w:bookmarkStart w:id="472" w:name="_Toc2015"/>
      <w:bookmarkStart w:id="473" w:name="_Toc23470"/>
      <w:bookmarkStart w:id="474" w:name="_Toc19336"/>
      <w:r>
        <w:rPr>
          <w:rFonts w:hint="eastAsia" w:ascii="宋体" w:hAnsi="宋体" w:cs="宋体"/>
          <w:b/>
          <w:color w:val="auto"/>
          <w:highlight w:val="none"/>
        </w:rPr>
        <w:t>（二）</w:t>
      </w:r>
      <w:bookmarkEnd w:id="470"/>
      <w:bookmarkEnd w:id="471"/>
      <w:bookmarkEnd w:id="472"/>
      <w:bookmarkEnd w:id="473"/>
      <w:r>
        <w:rPr>
          <w:rFonts w:hint="eastAsia" w:ascii="宋体" w:hAnsi="宋体" w:cs="宋体"/>
          <w:b/>
          <w:color w:val="auto"/>
          <w:highlight w:val="none"/>
          <w:lang w:val="en-US" w:eastAsia="zh-CN"/>
        </w:rPr>
        <w:t>项目人员配置</w:t>
      </w:r>
      <w:bookmarkEnd w:id="474"/>
    </w:p>
    <w:p w14:paraId="4DA8C857">
      <w:pPr>
        <w:keepNext/>
        <w:keepLines/>
        <w:spacing w:before="120" w:after="120" w:line="360" w:lineRule="auto"/>
        <w:ind w:firstLine="422" w:firstLineChars="200"/>
        <w:jc w:val="center"/>
        <w:rPr>
          <w:rFonts w:hint="eastAsia" w:ascii="宋体" w:hAnsi="宋体" w:cs="宋体"/>
          <w:b/>
          <w:bCs/>
          <w:color w:val="auto"/>
          <w:kern w:val="0"/>
          <w:highlight w:val="none"/>
        </w:rPr>
      </w:pPr>
      <w:bookmarkStart w:id="475" w:name="_Toc364351267"/>
      <w:bookmarkStart w:id="476" w:name="_Toc386046247"/>
      <w:bookmarkStart w:id="477" w:name="_Toc11328"/>
      <w:r>
        <w:rPr>
          <w:rFonts w:hint="eastAsia" w:ascii="宋体" w:hAnsi="宋体" w:cs="宋体"/>
          <w:b/>
          <w:bCs/>
          <w:color w:val="auto"/>
          <w:kern w:val="0"/>
          <w:highlight w:val="none"/>
        </w:rPr>
        <w:t>1.项目负责人简历表</w:t>
      </w:r>
      <w:bookmarkEnd w:id="475"/>
      <w:bookmarkEnd w:id="476"/>
      <w:bookmarkEnd w:id="477"/>
    </w:p>
    <w:tbl>
      <w:tblPr>
        <w:tblStyle w:val="48"/>
        <w:tblW w:w="0" w:type="auto"/>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267"/>
        <w:gridCol w:w="913"/>
        <w:gridCol w:w="1411"/>
        <w:gridCol w:w="2520"/>
        <w:gridCol w:w="2365"/>
      </w:tblGrid>
      <w:tr w14:paraId="2CAE4F69">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77" w:type="dxa"/>
            <w:tcBorders>
              <w:top w:val="thinThickSmallGap" w:color="auto" w:sz="24" w:space="0"/>
              <w:left w:val="thinThickSmallGap" w:color="auto" w:sz="24" w:space="0"/>
              <w:bottom w:val="single" w:color="auto" w:sz="4" w:space="0"/>
              <w:right w:val="single" w:color="auto" w:sz="4" w:space="0"/>
            </w:tcBorders>
            <w:noWrap w:val="0"/>
            <w:vAlign w:val="center"/>
          </w:tcPr>
          <w:p w14:paraId="3F8D878E">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姓名</w:t>
            </w:r>
          </w:p>
        </w:tc>
        <w:tc>
          <w:tcPr>
            <w:tcW w:w="1267" w:type="dxa"/>
            <w:tcBorders>
              <w:top w:val="thinThickSmallGap" w:color="auto" w:sz="24" w:space="0"/>
              <w:left w:val="single" w:color="auto" w:sz="4" w:space="0"/>
              <w:bottom w:val="single" w:color="auto" w:sz="4" w:space="0"/>
              <w:right w:val="single" w:color="auto" w:sz="4" w:space="0"/>
            </w:tcBorders>
            <w:noWrap w:val="0"/>
            <w:vAlign w:val="center"/>
          </w:tcPr>
          <w:p w14:paraId="121EA59A">
            <w:pPr>
              <w:snapToGrid w:val="0"/>
              <w:spacing w:line="360" w:lineRule="auto"/>
              <w:jc w:val="center"/>
              <w:rPr>
                <w:rFonts w:hint="eastAsia" w:ascii="宋体" w:hAnsi="宋体" w:cs="宋体"/>
                <w:bCs/>
                <w:color w:val="auto"/>
                <w:highlight w:val="none"/>
              </w:rPr>
            </w:pPr>
          </w:p>
        </w:tc>
        <w:tc>
          <w:tcPr>
            <w:tcW w:w="913" w:type="dxa"/>
            <w:tcBorders>
              <w:top w:val="thinThickSmallGap" w:color="auto" w:sz="24" w:space="0"/>
              <w:left w:val="single" w:color="auto" w:sz="4" w:space="0"/>
              <w:bottom w:val="single" w:color="auto" w:sz="4" w:space="0"/>
              <w:right w:val="single" w:color="auto" w:sz="4" w:space="0"/>
            </w:tcBorders>
            <w:noWrap w:val="0"/>
            <w:vAlign w:val="center"/>
          </w:tcPr>
          <w:p w14:paraId="726452EF">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年龄</w:t>
            </w:r>
          </w:p>
        </w:tc>
        <w:tc>
          <w:tcPr>
            <w:tcW w:w="1411" w:type="dxa"/>
            <w:tcBorders>
              <w:top w:val="thinThickSmallGap" w:color="auto" w:sz="24" w:space="0"/>
              <w:left w:val="single" w:color="auto" w:sz="4" w:space="0"/>
              <w:bottom w:val="single" w:color="auto" w:sz="4" w:space="0"/>
              <w:right w:val="single" w:color="auto" w:sz="4" w:space="0"/>
            </w:tcBorders>
            <w:noWrap w:val="0"/>
            <w:vAlign w:val="center"/>
          </w:tcPr>
          <w:p w14:paraId="48E01E85">
            <w:pPr>
              <w:snapToGrid w:val="0"/>
              <w:spacing w:line="360" w:lineRule="auto"/>
              <w:jc w:val="center"/>
              <w:rPr>
                <w:rFonts w:hint="eastAsia" w:ascii="宋体" w:hAnsi="宋体" w:cs="宋体"/>
                <w:bCs/>
                <w:color w:val="auto"/>
                <w:highlight w:val="none"/>
              </w:rPr>
            </w:pPr>
          </w:p>
        </w:tc>
        <w:tc>
          <w:tcPr>
            <w:tcW w:w="2520" w:type="dxa"/>
            <w:tcBorders>
              <w:top w:val="thinThickSmallGap" w:color="auto" w:sz="24" w:space="0"/>
              <w:left w:val="single" w:color="auto" w:sz="4" w:space="0"/>
              <w:bottom w:val="single" w:color="auto" w:sz="4" w:space="0"/>
              <w:right w:val="single" w:color="auto" w:sz="4" w:space="0"/>
            </w:tcBorders>
            <w:noWrap w:val="0"/>
            <w:vAlign w:val="center"/>
          </w:tcPr>
          <w:p w14:paraId="5E38709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学历</w:t>
            </w:r>
          </w:p>
        </w:tc>
        <w:tc>
          <w:tcPr>
            <w:tcW w:w="2365" w:type="dxa"/>
            <w:tcBorders>
              <w:top w:val="thinThickSmallGap" w:color="auto" w:sz="24" w:space="0"/>
              <w:left w:val="single" w:color="auto" w:sz="4" w:space="0"/>
              <w:bottom w:val="single" w:color="auto" w:sz="4" w:space="0"/>
              <w:right w:val="thickThinSmallGap" w:color="auto" w:sz="24" w:space="0"/>
            </w:tcBorders>
            <w:noWrap w:val="0"/>
            <w:vAlign w:val="center"/>
          </w:tcPr>
          <w:p w14:paraId="20780392">
            <w:pPr>
              <w:snapToGrid w:val="0"/>
              <w:spacing w:line="360" w:lineRule="auto"/>
              <w:jc w:val="center"/>
              <w:rPr>
                <w:rFonts w:hint="eastAsia" w:ascii="宋体" w:hAnsi="宋体" w:cs="宋体"/>
                <w:bCs/>
                <w:color w:val="auto"/>
                <w:highlight w:val="none"/>
              </w:rPr>
            </w:pPr>
          </w:p>
        </w:tc>
      </w:tr>
      <w:tr w14:paraId="712178D6">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2B1DB6C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职务</w:t>
            </w: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73E33675">
            <w:pPr>
              <w:snapToGrid w:val="0"/>
              <w:spacing w:line="360" w:lineRule="auto"/>
              <w:jc w:val="center"/>
              <w:rPr>
                <w:rFonts w:hint="eastAsia" w:ascii="宋体" w:hAnsi="宋体" w:cs="宋体"/>
                <w:bCs/>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CE582D4">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拟在本项目任职</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D274327">
            <w:pPr>
              <w:snapToGrid w:val="0"/>
              <w:spacing w:line="360" w:lineRule="auto"/>
              <w:jc w:val="center"/>
              <w:rPr>
                <w:rFonts w:hint="eastAsia" w:ascii="宋体" w:hAnsi="宋体" w:cs="宋体"/>
                <w:bCs/>
                <w:color w:val="auto"/>
                <w:highlight w:val="none"/>
              </w:rPr>
            </w:pPr>
          </w:p>
        </w:tc>
      </w:tr>
      <w:tr w14:paraId="60AECC84">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57" w:type="dxa"/>
            <w:gridSpan w:val="3"/>
            <w:tcBorders>
              <w:top w:val="single" w:color="auto" w:sz="4" w:space="0"/>
              <w:left w:val="thinThickSmallGap" w:color="auto" w:sz="24" w:space="0"/>
              <w:bottom w:val="single" w:color="auto" w:sz="4" w:space="0"/>
              <w:right w:val="single" w:color="auto" w:sz="4" w:space="0"/>
            </w:tcBorders>
            <w:noWrap w:val="0"/>
            <w:vAlign w:val="center"/>
          </w:tcPr>
          <w:p w14:paraId="5058AC9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执业资格等级</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71F62C1C">
            <w:pPr>
              <w:snapToGrid w:val="0"/>
              <w:spacing w:line="360" w:lineRule="auto"/>
              <w:jc w:val="center"/>
              <w:rPr>
                <w:rFonts w:hint="eastAsia" w:ascii="宋体" w:hAnsi="宋体" w:cs="宋体"/>
                <w:bCs/>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8DF8CE6">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专业</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00546687">
            <w:pPr>
              <w:snapToGrid w:val="0"/>
              <w:spacing w:line="360" w:lineRule="auto"/>
              <w:jc w:val="center"/>
              <w:rPr>
                <w:rFonts w:hint="eastAsia" w:ascii="宋体" w:hAnsi="宋体" w:cs="宋体"/>
                <w:bCs/>
                <w:color w:val="auto"/>
                <w:highlight w:val="none"/>
              </w:rPr>
            </w:pPr>
          </w:p>
        </w:tc>
      </w:tr>
      <w:tr w14:paraId="67E92B20">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3557" w:type="dxa"/>
            <w:gridSpan w:val="3"/>
            <w:tcBorders>
              <w:top w:val="single" w:color="auto" w:sz="4" w:space="0"/>
              <w:left w:val="thinThickSmallGap" w:color="auto" w:sz="24" w:space="0"/>
              <w:bottom w:val="single" w:color="auto" w:sz="4" w:space="0"/>
              <w:right w:val="single" w:color="auto" w:sz="4" w:space="0"/>
            </w:tcBorders>
            <w:noWrap w:val="0"/>
            <w:vAlign w:val="center"/>
          </w:tcPr>
          <w:p w14:paraId="66B384B0">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证   书</w:t>
            </w:r>
          </w:p>
        </w:tc>
        <w:tc>
          <w:tcPr>
            <w:tcW w:w="6296" w:type="dxa"/>
            <w:gridSpan w:val="3"/>
            <w:tcBorders>
              <w:top w:val="single" w:color="auto" w:sz="4" w:space="0"/>
              <w:left w:val="single" w:color="auto" w:sz="4" w:space="0"/>
              <w:bottom w:val="single" w:color="auto" w:sz="4" w:space="0"/>
              <w:right w:val="thickThinSmallGap" w:color="auto" w:sz="24" w:space="0"/>
            </w:tcBorders>
            <w:noWrap w:val="0"/>
            <w:vAlign w:val="center"/>
          </w:tcPr>
          <w:p w14:paraId="3A02FD95">
            <w:pPr>
              <w:snapToGrid w:val="0"/>
              <w:spacing w:line="360" w:lineRule="auto"/>
              <w:jc w:val="center"/>
              <w:rPr>
                <w:rFonts w:hint="eastAsia" w:ascii="宋体" w:hAnsi="宋体" w:cs="宋体"/>
                <w:bCs/>
                <w:color w:val="auto"/>
                <w:highlight w:val="none"/>
              </w:rPr>
            </w:pPr>
          </w:p>
        </w:tc>
      </w:tr>
      <w:tr w14:paraId="051A5B09">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238E5BE1">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毕业院校</w:t>
            </w:r>
          </w:p>
        </w:tc>
        <w:tc>
          <w:tcPr>
            <w:tcW w:w="8476" w:type="dxa"/>
            <w:gridSpan w:val="5"/>
            <w:tcBorders>
              <w:top w:val="single" w:color="auto" w:sz="4" w:space="0"/>
              <w:left w:val="single" w:color="auto" w:sz="4" w:space="0"/>
              <w:bottom w:val="single" w:color="auto" w:sz="4" w:space="0"/>
              <w:right w:val="thickThinSmallGap" w:color="auto" w:sz="24" w:space="0"/>
            </w:tcBorders>
            <w:noWrap w:val="0"/>
            <w:vAlign w:val="center"/>
          </w:tcPr>
          <w:p w14:paraId="36F2F55B">
            <w:pPr>
              <w:snapToGrid w:val="0"/>
              <w:spacing w:line="360" w:lineRule="auto"/>
              <w:ind w:firstLine="630" w:firstLineChars="300"/>
              <w:jc w:val="center"/>
              <w:rPr>
                <w:rFonts w:hint="eastAsia" w:ascii="宋体" w:hAnsi="宋体" w:cs="宋体"/>
                <w:bCs/>
                <w:color w:val="auto"/>
                <w:highlight w:val="none"/>
              </w:rPr>
            </w:pPr>
            <w:r>
              <w:rPr>
                <w:rFonts w:hint="eastAsia" w:ascii="宋体" w:hAnsi="宋体" w:cs="宋体"/>
                <w:bCs/>
                <w:color w:val="auto"/>
                <w:highlight w:val="none"/>
              </w:rPr>
              <w:t>年毕业于                  学校              专业</w:t>
            </w:r>
          </w:p>
        </w:tc>
      </w:tr>
      <w:tr w14:paraId="20F96202">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3" w:type="dxa"/>
            <w:gridSpan w:val="6"/>
            <w:tcBorders>
              <w:top w:val="single" w:color="auto" w:sz="4" w:space="0"/>
              <w:left w:val="thinThickSmallGap" w:color="auto" w:sz="24" w:space="0"/>
              <w:bottom w:val="single" w:color="auto" w:sz="4" w:space="0"/>
              <w:right w:val="thickThinSmallGap" w:color="auto" w:sz="24" w:space="0"/>
            </w:tcBorders>
            <w:noWrap w:val="0"/>
            <w:vAlign w:val="center"/>
          </w:tcPr>
          <w:p w14:paraId="2117F115">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主要工作经历</w:t>
            </w:r>
          </w:p>
        </w:tc>
      </w:tr>
      <w:tr w14:paraId="21858556">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04EA4C46">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时间</w:t>
            </w: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0D5742D2">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参加过的类似项目名称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9E5285D">
            <w:pPr>
              <w:snapToGrid w:val="0"/>
              <w:spacing w:line="360" w:lineRule="auto"/>
              <w:jc w:val="center"/>
              <w:rPr>
                <w:rFonts w:hint="eastAsia" w:ascii="宋体" w:hAnsi="宋体" w:cs="宋体"/>
                <w:bCs/>
                <w:color w:val="auto"/>
                <w:highlight w:val="none"/>
              </w:rPr>
            </w:pPr>
            <w:r>
              <w:rPr>
                <w:rFonts w:hint="eastAsia" w:ascii="宋体" w:hAnsi="宋体" w:cs="宋体"/>
                <w:bCs/>
                <w:color w:val="auto"/>
                <w:highlight w:val="none"/>
              </w:rPr>
              <w:t>项目概况说明</w:t>
            </w: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046C23D">
            <w:pPr>
              <w:snapToGrid w:val="0"/>
              <w:spacing w:line="360" w:lineRule="auto"/>
              <w:jc w:val="center"/>
              <w:rPr>
                <w:rFonts w:hint="eastAsia" w:ascii="宋体" w:hAnsi="宋体" w:cs="宋体"/>
                <w:bCs/>
                <w:color w:val="auto"/>
                <w:highlight w:val="none"/>
              </w:rPr>
            </w:pPr>
          </w:p>
        </w:tc>
      </w:tr>
      <w:tr w14:paraId="31721319">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37B52344">
            <w:pPr>
              <w:snapToGrid w:val="0"/>
              <w:spacing w:line="360" w:lineRule="auto"/>
              <w:jc w:val="center"/>
              <w:rPr>
                <w:rFonts w:hint="eastAsia" w:ascii="宋体" w:hAnsi="宋体" w:cs="宋体"/>
                <w:bCs/>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4D471FB8">
            <w:pPr>
              <w:snapToGrid w:val="0"/>
              <w:spacing w:line="360" w:lineRule="auto"/>
              <w:jc w:val="center"/>
              <w:rPr>
                <w:rFonts w:hint="eastAsia" w:ascii="宋体" w:hAnsi="宋体" w:cs="宋体"/>
                <w:bCs/>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D9330AE">
            <w:pPr>
              <w:snapToGrid w:val="0"/>
              <w:spacing w:line="360" w:lineRule="auto"/>
              <w:jc w:val="center"/>
              <w:rPr>
                <w:rFonts w:hint="eastAsia" w:ascii="宋体" w:hAnsi="宋体" w:cs="宋体"/>
                <w:bCs/>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3519FE7E">
            <w:pPr>
              <w:snapToGrid w:val="0"/>
              <w:spacing w:line="360" w:lineRule="auto"/>
              <w:jc w:val="center"/>
              <w:rPr>
                <w:rFonts w:hint="eastAsia" w:ascii="宋体" w:hAnsi="宋体" w:cs="宋体"/>
                <w:bCs/>
                <w:color w:val="auto"/>
                <w:highlight w:val="none"/>
              </w:rPr>
            </w:pPr>
          </w:p>
        </w:tc>
      </w:tr>
      <w:tr w14:paraId="42F9158C">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32A1D489">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3B68B863">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9B14E12">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05072168">
            <w:pPr>
              <w:snapToGrid w:val="0"/>
              <w:spacing w:line="360" w:lineRule="auto"/>
              <w:jc w:val="center"/>
              <w:rPr>
                <w:rFonts w:hint="eastAsia" w:ascii="宋体" w:hAnsi="宋体" w:cs="宋体"/>
                <w:color w:val="auto"/>
                <w:highlight w:val="none"/>
              </w:rPr>
            </w:pPr>
          </w:p>
        </w:tc>
      </w:tr>
      <w:tr w14:paraId="7F718F35">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6A93A1F7">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6197CBCA">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07ACC6FA">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F0EADC2">
            <w:pPr>
              <w:snapToGrid w:val="0"/>
              <w:spacing w:line="360" w:lineRule="auto"/>
              <w:jc w:val="center"/>
              <w:rPr>
                <w:rFonts w:hint="eastAsia" w:ascii="宋体" w:hAnsi="宋体" w:cs="宋体"/>
                <w:color w:val="auto"/>
                <w:highlight w:val="none"/>
              </w:rPr>
            </w:pPr>
          </w:p>
        </w:tc>
      </w:tr>
      <w:tr w14:paraId="5F4BBA1D">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453964D2">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552379DA">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19E0D0B9">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554B58DE">
            <w:pPr>
              <w:snapToGrid w:val="0"/>
              <w:spacing w:line="360" w:lineRule="auto"/>
              <w:jc w:val="center"/>
              <w:rPr>
                <w:rFonts w:hint="eastAsia" w:ascii="宋体" w:hAnsi="宋体" w:cs="宋体"/>
                <w:color w:val="auto"/>
                <w:highlight w:val="none"/>
              </w:rPr>
            </w:pPr>
          </w:p>
        </w:tc>
      </w:tr>
      <w:tr w14:paraId="44E2BB97">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625D4BF4">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0E0A4C7F">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71C037C2">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D2BCE24">
            <w:pPr>
              <w:snapToGrid w:val="0"/>
              <w:spacing w:line="360" w:lineRule="auto"/>
              <w:jc w:val="center"/>
              <w:rPr>
                <w:rFonts w:hint="eastAsia" w:ascii="宋体" w:hAnsi="宋体" w:cs="宋体"/>
                <w:color w:val="auto"/>
                <w:highlight w:val="none"/>
              </w:rPr>
            </w:pPr>
          </w:p>
        </w:tc>
      </w:tr>
      <w:tr w14:paraId="423FA2DD">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single" w:color="auto" w:sz="4" w:space="0"/>
              <w:right w:val="single" w:color="auto" w:sz="4" w:space="0"/>
            </w:tcBorders>
            <w:noWrap w:val="0"/>
            <w:vAlign w:val="center"/>
          </w:tcPr>
          <w:p w14:paraId="28D7A47E">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single" w:color="auto" w:sz="4" w:space="0"/>
              <w:right w:val="single" w:color="auto" w:sz="4" w:space="0"/>
            </w:tcBorders>
            <w:noWrap w:val="0"/>
            <w:vAlign w:val="center"/>
          </w:tcPr>
          <w:p w14:paraId="07F2FF13">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8057612">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single" w:color="auto" w:sz="4" w:space="0"/>
              <w:right w:val="thickThinSmallGap" w:color="auto" w:sz="24" w:space="0"/>
            </w:tcBorders>
            <w:noWrap w:val="0"/>
            <w:vAlign w:val="center"/>
          </w:tcPr>
          <w:p w14:paraId="28196306">
            <w:pPr>
              <w:snapToGrid w:val="0"/>
              <w:spacing w:line="360" w:lineRule="auto"/>
              <w:jc w:val="center"/>
              <w:rPr>
                <w:rFonts w:hint="eastAsia" w:ascii="宋体" w:hAnsi="宋体" w:cs="宋体"/>
                <w:color w:val="auto"/>
                <w:highlight w:val="none"/>
              </w:rPr>
            </w:pPr>
          </w:p>
        </w:tc>
      </w:tr>
      <w:tr w14:paraId="591C64E0">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tcBorders>
              <w:top w:val="single" w:color="auto" w:sz="4" w:space="0"/>
              <w:left w:val="thinThickSmallGap" w:color="auto" w:sz="24" w:space="0"/>
              <w:bottom w:val="thickThinSmallGap" w:color="auto" w:sz="24" w:space="0"/>
              <w:right w:val="single" w:color="auto" w:sz="4" w:space="0"/>
            </w:tcBorders>
            <w:noWrap w:val="0"/>
            <w:vAlign w:val="center"/>
          </w:tcPr>
          <w:p w14:paraId="6C341271">
            <w:pPr>
              <w:snapToGrid w:val="0"/>
              <w:spacing w:line="360" w:lineRule="auto"/>
              <w:jc w:val="center"/>
              <w:rPr>
                <w:rFonts w:hint="eastAsia" w:ascii="宋体" w:hAnsi="宋体" w:cs="宋体"/>
                <w:color w:val="auto"/>
                <w:highlight w:val="none"/>
              </w:rPr>
            </w:pPr>
          </w:p>
        </w:tc>
        <w:tc>
          <w:tcPr>
            <w:tcW w:w="3591" w:type="dxa"/>
            <w:gridSpan w:val="3"/>
            <w:tcBorders>
              <w:top w:val="single" w:color="auto" w:sz="4" w:space="0"/>
              <w:left w:val="single" w:color="auto" w:sz="4" w:space="0"/>
              <w:bottom w:val="thickThinSmallGap" w:color="auto" w:sz="24" w:space="0"/>
              <w:right w:val="single" w:color="auto" w:sz="4" w:space="0"/>
            </w:tcBorders>
            <w:noWrap w:val="0"/>
            <w:vAlign w:val="center"/>
          </w:tcPr>
          <w:p w14:paraId="66509405">
            <w:pPr>
              <w:snapToGrid w:val="0"/>
              <w:spacing w:line="360" w:lineRule="auto"/>
              <w:jc w:val="center"/>
              <w:rPr>
                <w:rFonts w:hint="eastAsia" w:ascii="宋体" w:hAnsi="宋体" w:cs="宋体"/>
                <w:color w:val="auto"/>
                <w:highlight w:val="none"/>
              </w:rPr>
            </w:pPr>
          </w:p>
        </w:tc>
        <w:tc>
          <w:tcPr>
            <w:tcW w:w="2520" w:type="dxa"/>
            <w:tcBorders>
              <w:top w:val="single" w:color="auto" w:sz="4" w:space="0"/>
              <w:left w:val="single" w:color="auto" w:sz="4" w:space="0"/>
              <w:bottom w:val="thickThinSmallGap" w:color="auto" w:sz="24" w:space="0"/>
              <w:right w:val="single" w:color="auto" w:sz="4" w:space="0"/>
            </w:tcBorders>
            <w:noWrap w:val="0"/>
            <w:vAlign w:val="center"/>
          </w:tcPr>
          <w:p w14:paraId="19E97CAD">
            <w:pPr>
              <w:snapToGrid w:val="0"/>
              <w:spacing w:line="360" w:lineRule="auto"/>
              <w:jc w:val="center"/>
              <w:rPr>
                <w:rFonts w:hint="eastAsia" w:ascii="宋体" w:hAnsi="宋体" w:cs="宋体"/>
                <w:color w:val="auto"/>
                <w:highlight w:val="none"/>
              </w:rPr>
            </w:pPr>
          </w:p>
        </w:tc>
        <w:tc>
          <w:tcPr>
            <w:tcW w:w="2365" w:type="dxa"/>
            <w:tcBorders>
              <w:top w:val="single" w:color="auto" w:sz="4" w:space="0"/>
              <w:left w:val="single" w:color="auto" w:sz="4" w:space="0"/>
              <w:bottom w:val="thickThinSmallGap" w:color="auto" w:sz="24" w:space="0"/>
              <w:right w:val="thickThinSmallGap" w:color="auto" w:sz="24" w:space="0"/>
            </w:tcBorders>
            <w:noWrap w:val="0"/>
            <w:vAlign w:val="center"/>
          </w:tcPr>
          <w:p w14:paraId="1A3BB71D">
            <w:pPr>
              <w:snapToGrid w:val="0"/>
              <w:spacing w:line="360" w:lineRule="auto"/>
              <w:jc w:val="center"/>
              <w:rPr>
                <w:rFonts w:hint="eastAsia" w:ascii="宋体" w:hAnsi="宋体" w:cs="宋体"/>
                <w:color w:val="auto"/>
                <w:highlight w:val="none"/>
              </w:rPr>
            </w:pPr>
          </w:p>
        </w:tc>
      </w:tr>
    </w:tbl>
    <w:p w14:paraId="74F5228F">
      <w:pPr>
        <w:spacing w:line="360" w:lineRule="auto"/>
        <w:rPr>
          <w:rFonts w:hint="eastAsia" w:ascii="宋体" w:hAnsi="宋体" w:cs="宋体"/>
          <w:color w:val="auto"/>
          <w:highlight w:val="none"/>
        </w:rPr>
      </w:pPr>
      <w:r>
        <w:rPr>
          <w:rFonts w:hint="eastAsia" w:ascii="宋体" w:hAnsi="宋体" w:cs="宋体"/>
          <w:color w:val="auto"/>
          <w:highlight w:val="none"/>
        </w:rPr>
        <w:t>注：表后应附以下证照资料，并确保证照资料所示内容清晰可辨。</w:t>
      </w:r>
    </w:p>
    <w:p w14:paraId="666DC563">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身份证</w:t>
      </w:r>
      <w:r>
        <w:rPr>
          <w:rFonts w:hint="eastAsia" w:ascii="宋体" w:hAnsi="宋体" w:cs="宋体"/>
          <w:color w:val="auto"/>
          <w:highlight w:val="none"/>
        </w:rPr>
        <w:t>、社保证明材料扫描件。</w:t>
      </w:r>
    </w:p>
    <w:p w14:paraId="4BCB7B8B">
      <w:pPr>
        <w:spacing w:line="360" w:lineRule="auto"/>
        <w:rPr>
          <w:rFonts w:hint="eastAsia" w:ascii="宋体" w:hAnsi="宋体" w:cs="宋体"/>
          <w:color w:val="auto"/>
          <w:highlight w:val="none"/>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）供应商认为需要提供的其他资格证书（如有）扫描件。</w:t>
      </w:r>
    </w:p>
    <w:p w14:paraId="543630CA">
      <w:pPr>
        <w:pStyle w:val="24"/>
        <w:spacing w:line="360" w:lineRule="auto"/>
        <w:rPr>
          <w:rFonts w:hint="eastAsia" w:hAnsi="宋体" w:cs="宋体"/>
          <w:color w:val="auto"/>
          <w:highlight w:val="none"/>
        </w:rPr>
      </w:pPr>
    </w:p>
    <w:p w14:paraId="232B1A81">
      <w:pPr>
        <w:pStyle w:val="24"/>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供应商（盖单位公章）：</w:t>
      </w:r>
      <w:r>
        <w:rPr>
          <w:rFonts w:hint="eastAsia" w:hAnsi="宋体" w:cs="宋体"/>
          <w:color w:val="auto"/>
          <w:sz w:val="21"/>
          <w:szCs w:val="21"/>
          <w:highlight w:val="none"/>
          <w:u w:val="single"/>
        </w:rPr>
        <w:t xml:space="preserve">                        </w:t>
      </w:r>
    </w:p>
    <w:p w14:paraId="73CA8D7B">
      <w:pPr>
        <w:pStyle w:val="24"/>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法定代表人或其授权委托人（签字或盖章）：</w:t>
      </w:r>
      <w:r>
        <w:rPr>
          <w:rFonts w:hint="eastAsia" w:hAnsi="宋体" w:cs="宋体"/>
          <w:color w:val="auto"/>
          <w:sz w:val="21"/>
          <w:szCs w:val="21"/>
          <w:highlight w:val="none"/>
          <w:u w:val="single"/>
        </w:rPr>
        <w:t xml:space="preserve">            </w:t>
      </w:r>
    </w:p>
    <w:p w14:paraId="12182830">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日期：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196C6F55">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2DA4088C">
      <w:pPr>
        <w:adjustRightInd w:val="0"/>
        <w:snapToGrid w:val="0"/>
        <w:spacing w:line="360" w:lineRule="auto"/>
        <w:ind w:left="63" w:leftChars="30"/>
        <w:jc w:val="center"/>
        <w:rPr>
          <w:rFonts w:hint="eastAsia" w:ascii="宋体" w:hAnsi="宋体" w:cs="宋体"/>
          <w:b/>
          <w:color w:val="auto"/>
          <w:highlight w:val="none"/>
        </w:rPr>
      </w:pPr>
      <w:bookmarkStart w:id="478" w:name="_Toc4683"/>
      <w:bookmarkStart w:id="479" w:name="_Toc4786"/>
      <w:bookmarkStart w:id="480" w:name="_Toc17176"/>
      <w:bookmarkStart w:id="481" w:name="_Toc17512"/>
      <w:r>
        <w:rPr>
          <w:rFonts w:hint="eastAsia" w:ascii="宋体" w:hAnsi="宋体" w:cs="宋体"/>
          <w:b/>
          <w:bCs/>
          <w:color w:val="auto"/>
          <w:kern w:val="0"/>
          <w:highlight w:val="none"/>
        </w:rPr>
        <w:t>2.其他人员配置汇总表</w:t>
      </w:r>
      <w:bookmarkEnd w:id="478"/>
    </w:p>
    <w:tbl>
      <w:tblPr>
        <w:tblStyle w:val="48"/>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974"/>
        <w:gridCol w:w="809"/>
        <w:gridCol w:w="687"/>
        <w:gridCol w:w="1512"/>
        <w:gridCol w:w="1169"/>
        <w:gridCol w:w="1342"/>
        <w:gridCol w:w="1342"/>
        <w:gridCol w:w="1336"/>
      </w:tblGrid>
      <w:tr w14:paraId="376F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327" w:type="pct"/>
            <w:noWrap w:val="0"/>
            <w:vAlign w:val="center"/>
          </w:tcPr>
          <w:p w14:paraId="41274177">
            <w:pPr>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496" w:type="pct"/>
            <w:noWrap w:val="0"/>
            <w:vAlign w:val="center"/>
          </w:tcPr>
          <w:p w14:paraId="5D41DC46">
            <w:pPr>
              <w:spacing w:line="360" w:lineRule="auto"/>
              <w:jc w:val="center"/>
              <w:rPr>
                <w:rFonts w:hint="eastAsia" w:ascii="宋体" w:hAnsi="宋体" w:cs="宋体"/>
                <w:color w:val="auto"/>
                <w:highlight w:val="none"/>
              </w:rPr>
            </w:pPr>
            <w:r>
              <w:rPr>
                <w:rFonts w:hint="eastAsia" w:ascii="宋体" w:hAnsi="宋体" w:cs="宋体"/>
                <w:color w:val="auto"/>
                <w:highlight w:val="none"/>
              </w:rPr>
              <w:t>姓名</w:t>
            </w:r>
          </w:p>
        </w:tc>
        <w:tc>
          <w:tcPr>
            <w:tcW w:w="412" w:type="pct"/>
            <w:noWrap w:val="0"/>
            <w:vAlign w:val="center"/>
          </w:tcPr>
          <w:p w14:paraId="0703ECAD">
            <w:pPr>
              <w:spacing w:line="360" w:lineRule="auto"/>
              <w:jc w:val="center"/>
              <w:rPr>
                <w:rFonts w:hint="eastAsia" w:ascii="宋体" w:hAnsi="宋体" w:cs="宋体"/>
                <w:color w:val="auto"/>
                <w:highlight w:val="none"/>
              </w:rPr>
            </w:pPr>
            <w:r>
              <w:rPr>
                <w:rFonts w:hint="eastAsia" w:ascii="宋体" w:hAnsi="宋体" w:cs="宋体"/>
                <w:color w:val="auto"/>
                <w:highlight w:val="none"/>
              </w:rPr>
              <w:t>性别</w:t>
            </w:r>
          </w:p>
        </w:tc>
        <w:tc>
          <w:tcPr>
            <w:tcW w:w="350" w:type="pct"/>
            <w:noWrap w:val="0"/>
            <w:vAlign w:val="center"/>
          </w:tcPr>
          <w:p w14:paraId="543856A4">
            <w:pPr>
              <w:spacing w:line="360" w:lineRule="auto"/>
              <w:jc w:val="center"/>
              <w:rPr>
                <w:rFonts w:hint="eastAsia" w:ascii="宋体" w:hAnsi="宋体" w:cs="宋体"/>
                <w:color w:val="auto"/>
                <w:highlight w:val="none"/>
              </w:rPr>
            </w:pPr>
            <w:r>
              <w:rPr>
                <w:rFonts w:hint="eastAsia" w:ascii="宋体" w:hAnsi="宋体" w:cs="宋体"/>
                <w:color w:val="auto"/>
                <w:highlight w:val="none"/>
              </w:rPr>
              <w:t>年龄</w:t>
            </w:r>
          </w:p>
        </w:tc>
        <w:tc>
          <w:tcPr>
            <w:tcW w:w="770" w:type="pct"/>
            <w:noWrap w:val="0"/>
            <w:vAlign w:val="center"/>
          </w:tcPr>
          <w:p w14:paraId="0158EED2">
            <w:pPr>
              <w:spacing w:line="360" w:lineRule="auto"/>
              <w:jc w:val="center"/>
              <w:rPr>
                <w:rFonts w:hint="eastAsia" w:ascii="宋体" w:hAnsi="宋体" w:cs="宋体"/>
                <w:color w:val="auto"/>
                <w:highlight w:val="none"/>
              </w:rPr>
            </w:pPr>
            <w:r>
              <w:rPr>
                <w:rFonts w:hint="eastAsia" w:ascii="宋体" w:hAnsi="宋体" w:cs="宋体"/>
                <w:color w:val="auto"/>
                <w:highlight w:val="none"/>
              </w:rPr>
              <w:t>资格/职称</w:t>
            </w:r>
          </w:p>
        </w:tc>
        <w:tc>
          <w:tcPr>
            <w:tcW w:w="595" w:type="pct"/>
            <w:noWrap w:val="0"/>
            <w:vAlign w:val="center"/>
          </w:tcPr>
          <w:p w14:paraId="694DC643">
            <w:pPr>
              <w:spacing w:line="360" w:lineRule="auto"/>
              <w:jc w:val="center"/>
              <w:rPr>
                <w:rFonts w:hint="eastAsia" w:ascii="宋体" w:hAnsi="宋体" w:cs="宋体"/>
                <w:color w:val="auto"/>
                <w:highlight w:val="none"/>
              </w:rPr>
            </w:pPr>
            <w:r>
              <w:rPr>
                <w:rFonts w:hint="eastAsia" w:ascii="宋体" w:hAnsi="宋体" w:cs="宋体"/>
                <w:color w:val="auto"/>
                <w:highlight w:val="none"/>
              </w:rPr>
              <w:t>专业</w:t>
            </w:r>
          </w:p>
        </w:tc>
        <w:tc>
          <w:tcPr>
            <w:tcW w:w="683" w:type="pct"/>
            <w:noWrap w:val="0"/>
            <w:vAlign w:val="center"/>
          </w:tcPr>
          <w:p w14:paraId="09E8B408">
            <w:pPr>
              <w:spacing w:line="360" w:lineRule="auto"/>
              <w:jc w:val="center"/>
              <w:rPr>
                <w:rFonts w:hint="eastAsia" w:ascii="宋体" w:hAnsi="宋体" w:cs="宋体"/>
                <w:color w:val="auto"/>
                <w:highlight w:val="none"/>
              </w:rPr>
            </w:pPr>
            <w:r>
              <w:rPr>
                <w:rFonts w:hint="eastAsia" w:ascii="宋体" w:hAnsi="宋体" w:cs="宋体"/>
                <w:color w:val="auto"/>
                <w:highlight w:val="none"/>
              </w:rPr>
              <w:t>从业年限</w:t>
            </w:r>
          </w:p>
        </w:tc>
        <w:tc>
          <w:tcPr>
            <w:tcW w:w="683" w:type="pct"/>
            <w:noWrap w:val="0"/>
            <w:vAlign w:val="center"/>
          </w:tcPr>
          <w:p w14:paraId="2A27B7DA">
            <w:pPr>
              <w:spacing w:line="360" w:lineRule="auto"/>
              <w:jc w:val="center"/>
              <w:rPr>
                <w:rFonts w:hint="eastAsia" w:ascii="宋体" w:hAnsi="宋体" w:cs="宋体"/>
                <w:color w:val="auto"/>
                <w:highlight w:val="none"/>
              </w:rPr>
            </w:pPr>
            <w:r>
              <w:rPr>
                <w:rFonts w:hint="eastAsia" w:ascii="宋体" w:hAnsi="宋体" w:cs="宋体"/>
                <w:color w:val="auto"/>
                <w:highlight w:val="none"/>
              </w:rPr>
              <w:t>以往参与项目情况</w:t>
            </w:r>
          </w:p>
        </w:tc>
        <w:tc>
          <w:tcPr>
            <w:tcW w:w="680" w:type="pct"/>
            <w:noWrap w:val="0"/>
            <w:vAlign w:val="center"/>
          </w:tcPr>
          <w:p w14:paraId="0A693300">
            <w:pPr>
              <w:spacing w:line="360" w:lineRule="auto"/>
              <w:jc w:val="center"/>
              <w:rPr>
                <w:rFonts w:hint="eastAsia" w:ascii="宋体" w:hAnsi="宋体" w:cs="宋体"/>
                <w:color w:val="auto"/>
                <w:highlight w:val="none"/>
              </w:rPr>
            </w:pPr>
            <w:r>
              <w:rPr>
                <w:rFonts w:hint="eastAsia" w:ascii="宋体" w:hAnsi="宋体" w:cs="宋体"/>
                <w:color w:val="auto"/>
                <w:highlight w:val="none"/>
              </w:rPr>
              <w:t>在本项目拟任职务</w:t>
            </w:r>
          </w:p>
        </w:tc>
      </w:tr>
      <w:tr w14:paraId="1B52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27" w:type="pct"/>
            <w:noWrap w:val="0"/>
            <w:vAlign w:val="center"/>
          </w:tcPr>
          <w:p w14:paraId="5AF32108">
            <w:pPr>
              <w:spacing w:line="360" w:lineRule="auto"/>
              <w:rPr>
                <w:rFonts w:hint="eastAsia" w:ascii="宋体" w:hAnsi="宋体" w:cs="宋体"/>
                <w:color w:val="auto"/>
                <w:highlight w:val="none"/>
              </w:rPr>
            </w:pPr>
          </w:p>
        </w:tc>
        <w:tc>
          <w:tcPr>
            <w:tcW w:w="496" w:type="pct"/>
            <w:noWrap w:val="0"/>
            <w:vAlign w:val="center"/>
          </w:tcPr>
          <w:p w14:paraId="3ACBF10E">
            <w:pPr>
              <w:spacing w:line="360" w:lineRule="auto"/>
              <w:rPr>
                <w:rFonts w:hint="eastAsia" w:ascii="宋体" w:hAnsi="宋体" w:cs="宋体"/>
                <w:color w:val="auto"/>
                <w:highlight w:val="none"/>
              </w:rPr>
            </w:pPr>
          </w:p>
        </w:tc>
        <w:tc>
          <w:tcPr>
            <w:tcW w:w="412" w:type="pct"/>
            <w:noWrap w:val="0"/>
            <w:vAlign w:val="center"/>
          </w:tcPr>
          <w:p w14:paraId="00A6B5F4">
            <w:pPr>
              <w:spacing w:line="360" w:lineRule="auto"/>
              <w:rPr>
                <w:rFonts w:hint="eastAsia" w:ascii="宋体" w:hAnsi="宋体" w:cs="宋体"/>
                <w:color w:val="auto"/>
                <w:highlight w:val="none"/>
              </w:rPr>
            </w:pPr>
          </w:p>
        </w:tc>
        <w:tc>
          <w:tcPr>
            <w:tcW w:w="350" w:type="pct"/>
            <w:noWrap w:val="0"/>
            <w:vAlign w:val="center"/>
          </w:tcPr>
          <w:p w14:paraId="04458D28">
            <w:pPr>
              <w:spacing w:line="360" w:lineRule="auto"/>
              <w:rPr>
                <w:rFonts w:hint="eastAsia" w:ascii="宋体" w:hAnsi="宋体" w:cs="宋体"/>
                <w:color w:val="auto"/>
                <w:highlight w:val="none"/>
              </w:rPr>
            </w:pPr>
          </w:p>
        </w:tc>
        <w:tc>
          <w:tcPr>
            <w:tcW w:w="770" w:type="pct"/>
            <w:noWrap w:val="0"/>
            <w:vAlign w:val="center"/>
          </w:tcPr>
          <w:p w14:paraId="435E3D09">
            <w:pPr>
              <w:spacing w:line="360" w:lineRule="auto"/>
              <w:rPr>
                <w:rFonts w:hint="eastAsia" w:ascii="宋体" w:hAnsi="宋体" w:cs="宋体"/>
                <w:color w:val="auto"/>
                <w:highlight w:val="none"/>
              </w:rPr>
            </w:pPr>
          </w:p>
        </w:tc>
        <w:tc>
          <w:tcPr>
            <w:tcW w:w="595" w:type="pct"/>
            <w:noWrap w:val="0"/>
            <w:vAlign w:val="center"/>
          </w:tcPr>
          <w:p w14:paraId="6A541CF7">
            <w:pPr>
              <w:spacing w:line="360" w:lineRule="auto"/>
              <w:rPr>
                <w:rFonts w:hint="eastAsia" w:ascii="宋体" w:hAnsi="宋体" w:cs="宋体"/>
                <w:color w:val="auto"/>
                <w:highlight w:val="none"/>
              </w:rPr>
            </w:pPr>
          </w:p>
        </w:tc>
        <w:tc>
          <w:tcPr>
            <w:tcW w:w="683" w:type="pct"/>
            <w:noWrap w:val="0"/>
            <w:vAlign w:val="center"/>
          </w:tcPr>
          <w:p w14:paraId="25C57F0A">
            <w:pPr>
              <w:spacing w:line="360" w:lineRule="auto"/>
              <w:rPr>
                <w:rFonts w:hint="eastAsia" w:ascii="宋体" w:hAnsi="宋体" w:cs="宋体"/>
                <w:color w:val="auto"/>
                <w:highlight w:val="none"/>
              </w:rPr>
            </w:pPr>
          </w:p>
        </w:tc>
        <w:tc>
          <w:tcPr>
            <w:tcW w:w="683" w:type="pct"/>
            <w:noWrap w:val="0"/>
            <w:vAlign w:val="center"/>
          </w:tcPr>
          <w:p w14:paraId="31432487">
            <w:pPr>
              <w:spacing w:line="360" w:lineRule="auto"/>
              <w:rPr>
                <w:rFonts w:hint="eastAsia" w:ascii="宋体" w:hAnsi="宋体" w:cs="宋体"/>
                <w:color w:val="auto"/>
                <w:highlight w:val="none"/>
              </w:rPr>
            </w:pPr>
          </w:p>
        </w:tc>
        <w:tc>
          <w:tcPr>
            <w:tcW w:w="680" w:type="pct"/>
            <w:noWrap w:val="0"/>
            <w:vAlign w:val="center"/>
          </w:tcPr>
          <w:p w14:paraId="153938BE">
            <w:pPr>
              <w:spacing w:line="360" w:lineRule="auto"/>
              <w:rPr>
                <w:rFonts w:hint="eastAsia" w:ascii="宋体" w:hAnsi="宋体" w:cs="宋体"/>
                <w:color w:val="auto"/>
                <w:highlight w:val="none"/>
              </w:rPr>
            </w:pPr>
            <w:r>
              <w:rPr>
                <w:rFonts w:hint="eastAsia" w:ascii="宋体" w:hAnsi="宋体" w:cs="宋体"/>
                <w:color w:val="auto"/>
                <w:kern w:val="0"/>
                <w:highlight w:val="none"/>
              </w:rPr>
              <w:t>项目负责人</w:t>
            </w:r>
          </w:p>
        </w:tc>
      </w:tr>
      <w:tr w14:paraId="41E2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27" w:type="pct"/>
            <w:noWrap w:val="0"/>
            <w:vAlign w:val="center"/>
          </w:tcPr>
          <w:p w14:paraId="30B174AF">
            <w:pPr>
              <w:spacing w:line="360" w:lineRule="auto"/>
              <w:rPr>
                <w:rFonts w:hint="eastAsia" w:ascii="宋体" w:hAnsi="宋体" w:cs="宋体"/>
                <w:color w:val="auto"/>
                <w:highlight w:val="none"/>
              </w:rPr>
            </w:pPr>
          </w:p>
        </w:tc>
        <w:tc>
          <w:tcPr>
            <w:tcW w:w="496" w:type="pct"/>
            <w:noWrap w:val="0"/>
            <w:vAlign w:val="center"/>
          </w:tcPr>
          <w:p w14:paraId="69BB5E3E">
            <w:pPr>
              <w:spacing w:line="360" w:lineRule="auto"/>
              <w:rPr>
                <w:rFonts w:hint="eastAsia" w:ascii="宋体" w:hAnsi="宋体" w:cs="宋体"/>
                <w:color w:val="auto"/>
                <w:highlight w:val="none"/>
              </w:rPr>
            </w:pPr>
          </w:p>
        </w:tc>
        <w:tc>
          <w:tcPr>
            <w:tcW w:w="412" w:type="pct"/>
            <w:noWrap w:val="0"/>
            <w:vAlign w:val="center"/>
          </w:tcPr>
          <w:p w14:paraId="4F77F582">
            <w:pPr>
              <w:spacing w:line="360" w:lineRule="auto"/>
              <w:rPr>
                <w:rFonts w:hint="eastAsia" w:ascii="宋体" w:hAnsi="宋体" w:cs="宋体"/>
                <w:color w:val="auto"/>
                <w:highlight w:val="none"/>
              </w:rPr>
            </w:pPr>
          </w:p>
        </w:tc>
        <w:tc>
          <w:tcPr>
            <w:tcW w:w="350" w:type="pct"/>
            <w:noWrap w:val="0"/>
            <w:vAlign w:val="center"/>
          </w:tcPr>
          <w:p w14:paraId="644BC0F9">
            <w:pPr>
              <w:spacing w:line="360" w:lineRule="auto"/>
              <w:rPr>
                <w:rFonts w:hint="eastAsia" w:ascii="宋体" w:hAnsi="宋体" w:cs="宋体"/>
                <w:color w:val="auto"/>
                <w:highlight w:val="none"/>
              </w:rPr>
            </w:pPr>
          </w:p>
        </w:tc>
        <w:tc>
          <w:tcPr>
            <w:tcW w:w="770" w:type="pct"/>
            <w:noWrap w:val="0"/>
            <w:vAlign w:val="center"/>
          </w:tcPr>
          <w:p w14:paraId="504397EA">
            <w:pPr>
              <w:spacing w:line="360" w:lineRule="auto"/>
              <w:rPr>
                <w:rFonts w:hint="eastAsia" w:ascii="宋体" w:hAnsi="宋体" w:cs="宋体"/>
                <w:color w:val="auto"/>
                <w:highlight w:val="none"/>
              </w:rPr>
            </w:pPr>
          </w:p>
        </w:tc>
        <w:tc>
          <w:tcPr>
            <w:tcW w:w="595" w:type="pct"/>
            <w:noWrap w:val="0"/>
            <w:vAlign w:val="center"/>
          </w:tcPr>
          <w:p w14:paraId="21B23452">
            <w:pPr>
              <w:spacing w:line="360" w:lineRule="auto"/>
              <w:rPr>
                <w:rFonts w:hint="eastAsia" w:ascii="宋体" w:hAnsi="宋体" w:cs="宋体"/>
                <w:color w:val="auto"/>
                <w:highlight w:val="none"/>
              </w:rPr>
            </w:pPr>
          </w:p>
        </w:tc>
        <w:tc>
          <w:tcPr>
            <w:tcW w:w="683" w:type="pct"/>
            <w:noWrap w:val="0"/>
            <w:vAlign w:val="center"/>
          </w:tcPr>
          <w:p w14:paraId="738480E1">
            <w:pPr>
              <w:spacing w:line="360" w:lineRule="auto"/>
              <w:rPr>
                <w:rFonts w:hint="eastAsia" w:ascii="宋体" w:hAnsi="宋体" w:cs="宋体"/>
                <w:color w:val="auto"/>
                <w:highlight w:val="none"/>
              </w:rPr>
            </w:pPr>
          </w:p>
        </w:tc>
        <w:tc>
          <w:tcPr>
            <w:tcW w:w="683" w:type="pct"/>
            <w:noWrap w:val="0"/>
            <w:vAlign w:val="center"/>
          </w:tcPr>
          <w:p w14:paraId="5BC203DC">
            <w:pPr>
              <w:spacing w:line="360" w:lineRule="auto"/>
              <w:rPr>
                <w:rFonts w:hint="eastAsia" w:ascii="宋体" w:hAnsi="宋体" w:cs="宋体"/>
                <w:color w:val="auto"/>
                <w:highlight w:val="none"/>
              </w:rPr>
            </w:pPr>
          </w:p>
        </w:tc>
        <w:tc>
          <w:tcPr>
            <w:tcW w:w="680" w:type="pct"/>
            <w:noWrap w:val="0"/>
            <w:vAlign w:val="center"/>
          </w:tcPr>
          <w:p w14:paraId="79D7E933">
            <w:pPr>
              <w:spacing w:line="360" w:lineRule="auto"/>
              <w:rPr>
                <w:rFonts w:hint="eastAsia" w:ascii="宋体" w:hAnsi="宋体" w:cs="宋体"/>
                <w:color w:val="auto"/>
                <w:highlight w:val="none"/>
              </w:rPr>
            </w:pPr>
          </w:p>
        </w:tc>
      </w:tr>
      <w:tr w14:paraId="7591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27" w:type="pct"/>
            <w:noWrap w:val="0"/>
            <w:vAlign w:val="center"/>
          </w:tcPr>
          <w:p w14:paraId="41586AE5">
            <w:pPr>
              <w:spacing w:line="360" w:lineRule="auto"/>
              <w:rPr>
                <w:rFonts w:hint="eastAsia" w:ascii="宋体" w:hAnsi="宋体" w:cs="宋体"/>
                <w:color w:val="auto"/>
                <w:highlight w:val="none"/>
              </w:rPr>
            </w:pPr>
          </w:p>
        </w:tc>
        <w:tc>
          <w:tcPr>
            <w:tcW w:w="496" w:type="pct"/>
            <w:noWrap w:val="0"/>
            <w:vAlign w:val="center"/>
          </w:tcPr>
          <w:p w14:paraId="07B16B7E">
            <w:pPr>
              <w:spacing w:line="360" w:lineRule="auto"/>
              <w:rPr>
                <w:rFonts w:hint="eastAsia" w:ascii="宋体" w:hAnsi="宋体" w:cs="宋体"/>
                <w:color w:val="auto"/>
                <w:highlight w:val="none"/>
              </w:rPr>
            </w:pPr>
          </w:p>
        </w:tc>
        <w:tc>
          <w:tcPr>
            <w:tcW w:w="412" w:type="pct"/>
            <w:noWrap w:val="0"/>
            <w:vAlign w:val="center"/>
          </w:tcPr>
          <w:p w14:paraId="7E3D5ECB">
            <w:pPr>
              <w:spacing w:line="360" w:lineRule="auto"/>
              <w:rPr>
                <w:rFonts w:hint="eastAsia" w:ascii="宋体" w:hAnsi="宋体" w:cs="宋体"/>
                <w:color w:val="auto"/>
                <w:highlight w:val="none"/>
              </w:rPr>
            </w:pPr>
          </w:p>
        </w:tc>
        <w:tc>
          <w:tcPr>
            <w:tcW w:w="350" w:type="pct"/>
            <w:noWrap w:val="0"/>
            <w:vAlign w:val="center"/>
          </w:tcPr>
          <w:p w14:paraId="0457CE0C">
            <w:pPr>
              <w:spacing w:line="360" w:lineRule="auto"/>
              <w:rPr>
                <w:rFonts w:hint="eastAsia" w:ascii="宋体" w:hAnsi="宋体" w:cs="宋体"/>
                <w:color w:val="auto"/>
                <w:highlight w:val="none"/>
              </w:rPr>
            </w:pPr>
          </w:p>
        </w:tc>
        <w:tc>
          <w:tcPr>
            <w:tcW w:w="770" w:type="pct"/>
            <w:noWrap w:val="0"/>
            <w:vAlign w:val="center"/>
          </w:tcPr>
          <w:p w14:paraId="76F3697E">
            <w:pPr>
              <w:spacing w:line="360" w:lineRule="auto"/>
              <w:rPr>
                <w:rFonts w:hint="eastAsia" w:ascii="宋体" w:hAnsi="宋体" w:cs="宋体"/>
                <w:color w:val="auto"/>
                <w:highlight w:val="none"/>
              </w:rPr>
            </w:pPr>
          </w:p>
        </w:tc>
        <w:tc>
          <w:tcPr>
            <w:tcW w:w="595" w:type="pct"/>
            <w:noWrap w:val="0"/>
            <w:vAlign w:val="center"/>
          </w:tcPr>
          <w:p w14:paraId="5C10CF26">
            <w:pPr>
              <w:spacing w:line="360" w:lineRule="auto"/>
              <w:rPr>
                <w:rFonts w:hint="eastAsia" w:ascii="宋体" w:hAnsi="宋体" w:cs="宋体"/>
                <w:color w:val="auto"/>
                <w:highlight w:val="none"/>
              </w:rPr>
            </w:pPr>
          </w:p>
        </w:tc>
        <w:tc>
          <w:tcPr>
            <w:tcW w:w="683" w:type="pct"/>
            <w:noWrap w:val="0"/>
            <w:vAlign w:val="center"/>
          </w:tcPr>
          <w:p w14:paraId="799E916F">
            <w:pPr>
              <w:spacing w:line="360" w:lineRule="auto"/>
              <w:rPr>
                <w:rFonts w:hint="eastAsia" w:ascii="宋体" w:hAnsi="宋体" w:cs="宋体"/>
                <w:color w:val="auto"/>
                <w:highlight w:val="none"/>
              </w:rPr>
            </w:pPr>
          </w:p>
        </w:tc>
        <w:tc>
          <w:tcPr>
            <w:tcW w:w="683" w:type="pct"/>
            <w:noWrap w:val="0"/>
            <w:vAlign w:val="center"/>
          </w:tcPr>
          <w:p w14:paraId="04555E0F">
            <w:pPr>
              <w:spacing w:line="360" w:lineRule="auto"/>
              <w:rPr>
                <w:rFonts w:hint="eastAsia" w:ascii="宋体" w:hAnsi="宋体" w:cs="宋体"/>
                <w:color w:val="auto"/>
                <w:highlight w:val="none"/>
              </w:rPr>
            </w:pPr>
          </w:p>
        </w:tc>
        <w:tc>
          <w:tcPr>
            <w:tcW w:w="680" w:type="pct"/>
            <w:noWrap w:val="0"/>
            <w:vAlign w:val="center"/>
          </w:tcPr>
          <w:p w14:paraId="6832ECB8">
            <w:pPr>
              <w:spacing w:line="360" w:lineRule="auto"/>
              <w:rPr>
                <w:rFonts w:hint="eastAsia" w:ascii="宋体" w:hAnsi="宋体" w:cs="宋体"/>
                <w:color w:val="auto"/>
                <w:highlight w:val="none"/>
              </w:rPr>
            </w:pPr>
          </w:p>
        </w:tc>
      </w:tr>
      <w:tr w14:paraId="4EAD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27" w:type="pct"/>
            <w:noWrap w:val="0"/>
            <w:vAlign w:val="center"/>
          </w:tcPr>
          <w:p w14:paraId="18E2EEEA">
            <w:pPr>
              <w:spacing w:line="360" w:lineRule="auto"/>
              <w:rPr>
                <w:rFonts w:hint="eastAsia" w:ascii="宋体" w:hAnsi="宋体" w:cs="宋体"/>
                <w:color w:val="auto"/>
                <w:highlight w:val="none"/>
              </w:rPr>
            </w:pPr>
          </w:p>
        </w:tc>
        <w:tc>
          <w:tcPr>
            <w:tcW w:w="496" w:type="pct"/>
            <w:noWrap w:val="0"/>
            <w:vAlign w:val="center"/>
          </w:tcPr>
          <w:p w14:paraId="46986954">
            <w:pPr>
              <w:spacing w:line="360" w:lineRule="auto"/>
              <w:rPr>
                <w:rFonts w:hint="eastAsia" w:ascii="宋体" w:hAnsi="宋体" w:cs="宋体"/>
                <w:color w:val="auto"/>
                <w:highlight w:val="none"/>
              </w:rPr>
            </w:pPr>
          </w:p>
        </w:tc>
        <w:tc>
          <w:tcPr>
            <w:tcW w:w="412" w:type="pct"/>
            <w:noWrap w:val="0"/>
            <w:vAlign w:val="center"/>
          </w:tcPr>
          <w:p w14:paraId="0D7D6E58">
            <w:pPr>
              <w:spacing w:line="360" w:lineRule="auto"/>
              <w:rPr>
                <w:rFonts w:hint="eastAsia" w:ascii="宋体" w:hAnsi="宋体" w:cs="宋体"/>
                <w:color w:val="auto"/>
                <w:highlight w:val="none"/>
              </w:rPr>
            </w:pPr>
          </w:p>
        </w:tc>
        <w:tc>
          <w:tcPr>
            <w:tcW w:w="350" w:type="pct"/>
            <w:noWrap w:val="0"/>
            <w:vAlign w:val="center"/>
          </w:tcPr>
          <w:p w14:paraId="381BCD46">
            <w:pPr>
              <w:spacing w:line="360" w:lineRule="auto"/>
              <w:rPr>
                <w:rFonts w:hint="eastAsia" w:ascii="宋体" w:hAnsi="宋体" w:cs="宋体"/>
                <w:color w:val="auto"/>
                <w:highlight w:val="none"/>
              </w:rPr>
            </w:pPr>
          </w:p>
        </w:tc>
        <w:tc>
          <w:tcPr>
            <w:tcW w:w="770" w:type="pct"/>
            <w:noWrap w:val="0"/>
            <w:vAlign w:val="center"/>
          </w:tcPr>
          <w:p w14:paraId="5356E73A">
            <w:pPr>
              <w:spacing w:line="360" w:lineRule="auto"/>
              <w:rPr>
                <w:rFonts w:hint="eastAsia" w:ascii="宋体" w:hAnsi="宋体" w:cs="宋体"/>
                <w:color w:val="auto"/>
                <w:highlight w:val="none"/>
              </w:rPr>
            </w:pPr>
          </w:p>
        </w:tc>
        <w:tc>
          <w:tcPr>
            <w:tcW w:w="595" w:type="pct"/>
            <w:noWrap w:val="0"/>
            <w:vAlign w:val="center"/>
          </w:tcPr>
          <w:p w14:paraId="65ADB889">
            <w:pPr>
              <w:spacing w:line="360" w:lineRule="auto"/>
              <w:rPr>
                <w:rFonts w:hint="eastAsia" w:ascii="宋体" w:hAnsi="宋体" w:cs="宋体"/>
                <w:color w:val="auto"/>
                <w:highlight w:val="none"/>
              </w:rPr>
            </w:pPr>
          </w:p>
        </w:tc>
        <w:tc>
          <w:tcPr>
            <w:tcW w:w="683" w:type="pct"/>
            <w:noWrap w:val="0"/>
            <w:vAlign w:val="center"/>
          </w:tcPr>
          <w:p w14:paraId="53BC7469">
            <w:pPr>
              <w:spacing w:line="360" w:lineRule="auto"/>
              <w:rPr>
                <w:rFonts w:hint="eastAsia" w:ascii="宋体" w:hAnsi="宋体" w:cs="宋体"/>
                <w:color w:val="auto"/>
                <w:highlight w:val="none"/>
              </w:rPr>
            </w:pPr>
          </w:p>
        </w:tc>
        <w:tc>
          <w:tcPr>
            <w:tcW w:w="683" w:type="pct"/>
            <w:noWrap w:val="0"/>
            <w:vAlign w:val="center"/>
          </w:tcPr>
          <w:p w14:paraId="06D55FB8">
            <w:pPr>
              <w:spacing w:line="360" w:lineRule="auto"/>
              <w:rPr>
                <w:rFonts w:hint="eastAsia" w:ascii="宋体" w:hAnsi="宋体" w:cs="宋体"/>
                <w:color w:val="auto"/>
                <w:highlight w:val="none"/>
              </w:rPr>
            </w:pPr>
          </w:p>
        </w:tc>
        <w:tc>
          <w:tcPr>
            <w:tcW w:w="680" w:type="pct"/>
            <w:noWrap w:val="0"/>
            <w:vAlign w:val="center"/>
          </w:tcPr>
          <w:p w14:paraId="59A9A4C5">
            <w:pPr>
              <w:spacing w:line="360" w:lineRule="auto"/>
              <w:rPr>
                <w:rFonts w:hint="eastAsia" w:ascii="宋体" w:hAnsi="宋体" w:cs="宋体"/>
                <w:color w:val="auto"/>
                <w:highlight w:val="none"/>
              </w:rPr>
            </w:pPr>
          </w:p>
        </w:tc>
      </w:tr>
    </w:tbl>
    <w:p w14:paraId="76C29A3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注：1、附相关人员身份证、资格证书复印件（如有）。</w:t>
      </w:r>
    </w:p>
    <w:p w14:paraId="6D7954A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2、附相关人员社保证明材料（扫描件）。</w:t>
      </w:r>
    </w:p>
    <w:p w14:paraId="794A87C3">
      <w:pPr>
        <w:pStyle w:val="24"/>
        <w:spacing w:line="360" w:lineRule="auto"/>
        <w:ind w:firstLine="400" w:firstLineChars="200"/>
        <w:rPr>
          <w:rFonts w:hint="eastAsia" w:hAnsi="宋体" w:cs="宋体"/>
          <w:color w:val="auto"/>
          <w:highlight w:val="none"/>
        </w:rPr>
      </w:pPr>
    </w:p>
    <w:p w14:paraId="7A099190">
      <w:pPr>
        <w:pStyle w:val="24"/>
        <w:spacing w:line="360" w:lineRule="auto"/>
        <w:ind w:firstLine="400" w:firstLineChars="200"/>
        <w:rPr>
          <w:rFonts w:hint="eastAsia" w:hAnsi="宋体" w:cs="宋体"/>
          <w:color w:val="auto"/>
          <w:highlight w:val="none"/>
        </w:rPr>
      </w:pPr>
    </w:p>
    <w:p w14:paraId="32821A91">
      <w:pPr>
        <w:pStyle w:val="24"/>
        <w:spacing w:line="360" w:lineRule="auto"/>
        <w:ind w:firstLine="480" w:firstLineChars="200"/>
        <w:rPr>
          <w:rFonts w:hint="eastAsia" w:hAnsi="宋体" w:cs="宋体"/>
          <w:color w:val="auto"/>
          <w:sz w:val="24"/>
          <w:highlight w:val="none"/>
        </w:rPr>
      </w:pPr>
    </w:p>
    <w:p w14:paraId="48231B7D">
      <w:pPr>
        <w:pStyle w:val="24"/>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供应商（盖单位公章）：</w:t>
      </w:r>
      <w:r>
        <w:rPr>
          <w:rFonts w:hint="eastAsia" w:hAnsi="宋体" w:cs="宋体"/>
          <w:color w:val="auto"/>
          <w:sz w:val="21"/>
          <w:szCs w:val="21"/>
          <w:highlight w:val="none"/>
          <w:u w:val="single"/>
        </w:rPr>
        <w:t xml:space="preserve">                        </w:t>
      </w:r>
    </w:p>
    <w:p w14:paraId="3AACCB7B">
      <w:pPr>
        <w:pStyle w:val="24"/>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法定代表人或其授权委托人（签字或盖章）：</w:t>
      </w:r>
      <w:r>
        <w:rPr>
          <w:rFonts w:hint="eastAsia" w:hAnsi="宋体" w:cs="宋体"/>
          <w:color w:val="auto"/>
          <w:sz w:val="21"/>
          <w:szCs w:val="21"/>
          <w:highlight w:val="none"/>
          <w:u w:val="single"/>
        </w:rPr>
        <w:t xml:space="preserve">            </w:t>
      </w:r>
    </w:p>
    <w:p w14:paraId="723E5E3A">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日期：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6B15C35A">
      <w:pPr>
        <w:pStyle w:val="19"/>
        <w:spacing w:line="360" w:lineRule="auto"/>
        <w:ind w:left="840" w:right="72"/>
        <w:rPr>
          <w:rFonts w:hint="eastAsia" w:hAnsi="宋体" w:cs="宋体"/>
          <w:color w:val="auto"/>
          <w:highlight w:val="none"/>
        </w:rPr>
      </w:pPr>
    </w:p>
    <w:p w14:paraId="38D5F1CB">
      <w:pPr>
        <w:pStyle w:val="314"/>
        <w:spacing w:line="360" w:lineRule="auto"/>
        <w:jc w:val="left"/>
        <w:rPr>
          <w:rFonts w:hint="eastAsia" w:ascii="宋体" w:hAnsi="宋体" w:cs="宋体"/>
          <w:color w:val="auto"/>
          <w:highlight w:val="none"/>
        </w:rPr>
      </w:pPr>
      <w:r>
        <w:rPr>
          <w:rFonts w:hint="eastAsia" w:ascii="宋体" w:hAnsi="宋体" w:cs="宋体"/>
          <w:b/>
          <w:color w:val="auto"/>
          <w:highlight w:val="none"/>
        </w:rPr>
        <w:br w:type="page"/>
      </w:r>
      <w:bookmarkEnd w:id="479"/>
      <w:bookmarkEnd w:id="480"/>
      <w:bookmarkEnd w:id="481"/>
    </w:p>
    <w:p w14:paraId="31C95F90">
      <w:pPr>
        <w:spacing w:line="360" w:lineRule="auto"/>
        <w:jc w:val="left"/>
        <w:outlineLvl w:val="2"/>
        <w:rPr>
          <w:rFonts w:hint="eastAsia" w:ascii="宋体" w:hAnsi="宋体" w:cs="宋体"/>
          <w:b/>
          <w:color w:val="auto"/>
          <w:highlight w:val="none"/>
        </w:rPr>
      </w:pPr>
      <w:bookmarkStart w:id="482" w:name="_Toc473"/>
      <w:bookmarkStart w:id="483" w:name="_Toc20728"/>
      <w:bookmarkStart w:id="484" w:name="_Toc9517"/>
      <w:bookmarkStart w:id="485" w:name="_Toc29272"/>
      <w:bookmarkStart w:id="486" w:name="_Toc5986"/>
      <w:bookmarkStart w:id="487" w:name="_Toc18846"/>
      <w:bookmarkStart w:id="488" w:name="_Toc19235"/>
      <w:bookmarkStart w:id="489" w:name="_Toc6036"/>
      <w:bookmarkStart w:id="490" w:name="_Toc31265"/>
      <w:bookmarkStart w:id="491" w:name="_Toc8542"/>
      <w:bookmarkStart w:id="492" w:name="_Toc1710"/>
      <w:r>
        <w:rPr>
          <w:rFonts w:hint="eastAsia" w:ascii="宋体" w:hAnsi="宋体" w:cs="宋体"/>
          <w:b/>
          <w:color w:val="auto"/>
          <w:highlight w:val="none"/>
        </w:rPr>
        <w:t>（三）</w:t>
      </w:r>
      <w:bookmarkEnd w:id="482"/>
      <w:bookmarkEnd w:id="483"/>
      <w:bookmarkEnd w:id="484"/>
      <w:bookmarkEnd w:id="485"/>
      <w:bookmarkEnd w:id="486"/>
      <w:bookmarkEnd w:id="487"/>
      <w:bookmarkEnd w:id="488"/>
      <w:bookmarkEnd w:id="489"/>
      <w:bookmarkEnd w:id="490"/>
      <w:bookmarkEnd w:id="491"/>
      <w:r>
        <w:rPr>
          <w:rFonts w:hint="eastAsia" w:ascii="宋体" w:hAnsi="宋体" w:cs="宋体"/>
          <w:b/>
          <w:color w:val="auto"/>
          <w:highlight w:val="none"/>
        </w:rPr>
        <w:t>投入项目工器具配置</w:t>
      </w:r>
      <w:bookmarkEnd w:id="492"/>
    </w:p>
    <w:p w14:paraId="76AC606F">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（供应商自行编制，格式自拟）</w:t>
      </w:r>
    </w:p>
    <w:p w14:paraId="68974379">
      <w:pPr>
        <w:pStyle w:val="314"/>
        <w:spacing w:line="360" w:lineRule="auto"/>
        <w:ind w:firstLine="420" w:firstLineChars="200"/>
        <w:jc w:val="left"/>
        <w:rPr>
          <w:rFonts w:hint="eastAsia" w:ascii="宋体" w:hAnsi="宋体" w:cs="宋体"/>
          <w:color w:val="auto"/>
          <w:sz w:val="21"/>
          <w:szCs w:val="21"/>
          <w:highlight w:val="none"/>
        </w:rPr>
      </w:pPr>
    </w:p>
    <w:p w14:paraId="2CCE9058">
      <w:pPr>
        <w:spacing w:line="360" w:lineRule="auto"/>
        <w:jc w:val="left"/>
        <w:outlineLvl w:val="2"/>
        <w:rPr>
          <w:rFonts w:hint="eastAsia" w:ascii="宋体" w:hAnsi="宋体" w:cs="宋体"/>
          <w:b/>
          <w:color w:val="auto"/>
          <w:highlight w:val="none"/>
        </w:rPr>
      </w:pPr>
      <w:bookmarkStart w:id="493" w:name="_Toc15431"/>
      <w:bookmarkStart w:id="494" w:name="_Toc11921"/>
      <w:bookmarkStart w:id="495" w:name="_Toc28158"/>
      <w:bookmarkStart w:id="496" w:name="_Toc27178"/>
      <w:bookmarkStart w:id="497" w:name="_Toc3695"/>
      <w:bookmarkStart w:id="498" w:name="_Toc7245"/>
      <w:r>
        <w:rPr>
          <w:rFonts w:hint="eastAsia" w:ascii="宋体" w:hAnsi="宋体" w:cs="宋体"/>
          <w:b/>
          <w:color w:val="auto"/>
          <w:highlight w:val="none"/>
        </w:rPr>
        <w:t>（</w:t>
      </w:r>
      <w:r>
        <w:rPr>
          <w:rFonts w:hint="eastAsia" w:ascii="宋体" w:hAnsi="宋体" w:cs="宋体"/>
          <w:b/>
          <w:color w:val="auto"/>
          <w:highlight w:val="none"/>
          <w:lang w:val="en-US" w:eastAsia="zh-CN"/>
        </w:rPr>
        <w:t>四</w:t>
      </w:r>
      <w:r>
        <w:rPr>
          <w:rFonts w:hint="eastAsia" w:ascii="宋体" w:hAnsi="宋体" w:cs="宋体"/>
          <w:b/>
          <w:color w:val="auto"/>
          <w:highlight w:val="none"/>
        </w:rPr>
        <w:t>）质量承诺及保证措施</w:t>
      </w:r>
      <w:bookmarkEnd w:id="493"/>
    </w:p>
    <w:p w14:paraId="2BF7ED48">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（供应商自行编制，格式自拟）</w:t>
      </w:r>
    </w:p>
    <w:p w14:paraId="39ECF215">
      <w:pPr>
        <w:spacing w:line="360" w:lineRule="auto"/>
        <w:jc w:val="center"/>
        <w:outlineLvl w:val="9"/>
        <w:rPr>
          <w:rFonts w:hint="eastAsia" w:ascii="宋体" w:hAnsi="宋体" w:cs="宋体"/>
          <w:b/>
          <w:color w:val="auto"/>
          <w:highlight w:val="none"/>
        </w:rPr>
      </w:pPr>
    </w:p>
    <w:p w14:paraId="1C6F12F6">
      <w:pPr>
        <w:spacing w:line="360" w:lineRule="auto"/>
        <w:jc w:val="left"/>
        <w:outlineLvl w:val="2"/>
        <w:rPr>
          <w:rFonts w:hint="eastAsia" w:ascii="宋体" w:hAnsi="宋体" w:cs="宋体"/>
          <w:b/>
          <w:bCs w:val="0"/>
          <w:color w:val="auto"/>
          <w:highlight w:val="none"/>
        </w:rPr>
      </w:pPr>
      <w:bookmarkStart w:id="499" w:name="_Toc22678"/>
      <w:r>
        <w:rPr>
          <w:rFonts w:hint="eastAsia" w:ascii="宋体" w:hAnsi="宋体" w:cs="宋体"/>
          <w:b/>
          <w:color w:val="auto"/>
          <w:highlight w:val="none"/>
        </w:rPr>
        <w:t>（</w:t>
      </w:r>
      <w:r>
        <w:rPr>
          <w:rFonts w:hint="eastAsia" w:ascii="宋体" w:hAnsi="宋体" w:cs="宋体"/>
          <w:b/>
          <w:color w:val="auto"/>
          <w:highlight w:val="none"/>
          <w:lang w:val="en-US" w:eastAsia="zh-CN"/>
        </w:rPr>
        <w:t>四</w:t>
      </w:r>
      <w:r>
        <w:rPr>
          <w:rFonts w:hint="eastAsia" w:ascii="宋体" w:hAnsi="宋体" w:cs="宋体"/>
          <w:b/>
          <w:bCs w:val="0"/>
          <w:color w:val="auto"/>
          <w:highlight w:val="none"/>
        </w:rPr>
        <w:t>）</w:t>
      </w:r>
      <w:r>
        <w:rPr>
          <w:rFonts w:hint="eastAsia" w:ascii="宋体" w:hAnsi="宋体" w:eastAsia="宋体" w:cs="宋体"/>
          <w:b/>
          <w:bCs w:val="0"/>
          <w:color w:val="auto"/>
          <w:szCs w:val="21"/>
          <w:highlight w:val="none"/>
        </w:rPr>
        <w:t>安全管理方案、安全承诺</w:t>
      </w:r>
      <w:r>
        <w:rPr>
          <w:rFonts w:hint="eastAsia" w:ascii="宋体" w:hAnsi="宋体" w:eastAsia="宋体" w:cs="宋体"/>
          <w:b/>
          <w:bCs w:val="0"/>
          <w:color w:val="auto"/>
          <w:szCs w:val="21"/>
          <w:highlight w:val="none"/>
          <w:lang w:val="zh-CN"/>
        </w:rPr>
        <w:t>及保证措施</w:t>
      </w:r>
      <w:bookmarkEnd w:id="499"/>
    </w:p>
    <w:p w14:paraId="39212F43">
      <w:pPr>
        <w:pStyle w:val="314"/>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（供应商自行编制，格式自拟）</w:t>
      </w:r>
    </w:p>
    <w:p w14:paraId="43804007">
      <w:pPr>
        <w:spacing w:line="360" w:lineRule="auto"/>
        <w:jc w:val="center"/>
        <w:outlineLvl w:val="9"/>
        <w:rPr>
          <w:rFonts w:hint="eastAsia" w:ascii="宋体" w:hAnsi="宋体" w:cs="宋体"/>
          <w:b/>
          <w:color w:val="auto"/>
          <w:highlight w:val="none"/>
        </w:rPr>
      </w:pPr>
      <w:r>
        <w:rPr>
          <w:rFonts w:hint="eastAsia" w:ascii="宋体" w:hAnsi="宋体" w:cs="宋体"/>
          <w:b/>
          <w:color w:val="auto"/>
          <w:highlight w:val="none"/>
        </w:rPr>
        <w:br w:type="page"/>
      </w:r>
      <w:bookmarkEnd w:id="494"/>
      <w:bookmarkEnd w:id="495"/>
    </w:p>
    <w:bookmarkEnd w:id="496"/>
    <w:bookmarkEnd w:id="497"/>
    <w:bookmarkEnd w:id="498"/>
    <w:p w14:paraId="2F85D5C4">
      <w:pPr>
        <w:adjustRightInd w:val="0"/>
        <w:snapToGrid w:val="0"/>
        <w:spacing w:line="360" w:lineRule="auto"/>
        <w:jc w:val="center"/>
        <w:outlineLvl w:val="1"/>
        <w:rPr>
          <w:rFonts w:hint="eastAsia" w:ascii="宋体" w:hAnsi="宋体" w:cs="宋体"/>
          <w:b/>
          <w:color w:val="auto"/>
          <w:sz w:val="28"/>
          <w:szCs w:val="28"/>
          <w:highlight w:val="none"/>
        </w:rPr>
      </w:pPr>
      <w:bookmarkStart w:id="500" w:name="_Toc18725"/>
      <w:bookmarkStart w:id="501" w:name="_Toc16938"/>
      <w:bookmarkStart w:id="502" w:name="_Toc17610"/>
      <w:bookmarkStart w:id="503" w:name="_Toc7923"/>
      <w:bookmarkStart w:id="504" w:name="_Toc1079"/>
      <w:bookmarkStart w:id="505" w:name="_Toc21059"/>
      <w:bookmarkStart w:id="506" w:name="_Toc18649"/>
      <w:bookmarkStart w:id="507" w:name="_Toc20881"/>
      <w:bookmarkStart w:id="508" w:name="_Toc29367"/>
      <w:bookmarkStart w:id="509" w:name="_Toc2050"/>
      <w:bookmarkStart w:id="510" w:name="_Toc9920"/>
      <w:bookmarkStart w:id="511" w:name="_Toc20335"/>
      <w:bookmarkStart w:id="512" w:name="_Toc5401"/>
      <w:bookmarkStart w:id="513" w:name="_Toc30390"/>
      <w:bookmarkStart w:id="514" w:name="_Toc22714"/>
      <w:bookmarkStart w:id="515" w:name="_Toc8161"/>
      <w:bookmarkStart w:id="516" w:name="_Toc16638"/>
      <w:bookmarkStart w:id="517" w:name="_Toc25425"/>
      <w:bookmarkStart w:id="518" w:name="_Toc1291"/>
      <w:bookmarkStart w:id="519" w:name="_Toc17175"/>
      <w:r>
        <w:rPr>
          <w:rFonts w:hint="eastAsia" w:ascii="宋体" w:hAnsi="宋体" w:cs="宋体"/>
          <w:b/>
          <w:color w:val="auto"/>
          <w:sz w:val="28"/>
          <w:szCs w:val="28"/>
          <w:highlight w:val="none"/>
        </w:rPr>
        <w:t>五、其他资料</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165D2BDD">
      <w:pPr>
        <w:pStyle w:val="24"/>
        <w:snapToGrid w:val="0"/>
        <w:spacing w:line="360" w:lineRule="auto"/>
        <w:rPr>
          <w:rFonts w:hint="eastAsia" w:hAnsi="宋体" w:cs="宋体"/>
          <w:bCs/>
          <w:sz w:val="21"/>
          <w:szCs w:val="21"/>
        </w:rPr>
      </w:pPr>
      <w:r>
        <w:rPr>
          <w:rFonts w:hint="eastAsia" w:hAnsi="宋体" w:cs="宋体"/>
          <w:bCs/>
          <w:color w:val="auto"/>
          <w:sz w:val="21"/>
          <w:szCs w:val="21"/>
          <w:highlight w:val="none"/>
          <w:lang w:eastAsia="zh-CN"/>
        </w:rPr>
        <w:t>供应商</w:t>
      </w:r>
      <w:r>
        <w:rPr>
          <w:rFonts w:hint="eastAsia" w:hAnsi="宋体" w:cs="宋体"/>
          <w:bCs/>
          <w:color w:val="auto"/>
          <w:sz w:val="21"/>
          <w:szCs w:val="21"/>
          <w:highlight w:val="none"/>
        </w:rPr>
        <w:t>认为需要提供的资料，有格式的请按给定格式填写，无格式要求的请自拟格式。</w:t>
      </w:r>
    </w:p>
    <w:p w14:paraId="1D771A62">
      <w:pPr>
        <w:rPr>
          <w:rFonts w:hint="eastAsia" w:ascii="宋体" w:hAnsi="宋体" w:cs="宋体"/>
          <w:kern w:val="0"/>
          <w:szCs w:val="21"/>
        </w:rPr>
      </w:pPr>
      <w:r>
        <w:rPr>
          <w:rFonts w:hint="eastAsia" w:ascii="宋体" w:hAnsi="宋体" w:cs="宋体"/>
          <w:szCs w:val="21"/>
        </w:rPr>
        <w:br w:type="page"/>
      </w:r>
      <w:bookmarkEnd w:id="295"/>
      <w:bookmarkEnd w:id="296"/>
      <w:bookmarkEnd w:id="297"/>
      <w:bookmarkEnd w:id="298"/>
      <w:bookmarkEnd w:id="299"/>
      <w:bookmarkEnd w:id="300"/>
      <w:bookmarkEnd w:id="301"/>
      <w:r>
        <w:rPr>
          <w:rFonts w:hint="eastAsia" w:ascii="宋体" w:hAnsi="宋体" w:cs="宋体"/>
          <w:kern w:val="0"/>
        </w:rPr>
        <w:t xml:space="preserve"> </w:t>
      </w:r>
    </w:p>
    <w:p w14:paraId="7C078D38">
      <w:pPr>
        <w:pStyle w:val="2"/>
        <w:spacing w:line="360" w:lineRule="auto"/>
        <w:jc w:val="center"/>
        <w:rPr>
          <w:rFonts w:hint="eastAsia" w:ascii="宋体" w:hAnsi="宋体" w:eastAsia="宋体" w:cs="宋体"/>
          <w:color w:val="auto"/>
          <w:sz w:val="32"/>
          <w:szCs w:val="32"/>
          <w:lang w:eastAsia="zh-CN"/>
        </w:rPr>
      </w:pPr>
      <w:bookmarkStart w:id="520" w:name="_Toc21149"/>
      <w:bookmarkStart w:id="521" w:name="_Toc20263"/>
      <w:bookmarkStart w:id="522" w:name="_Toc4394"/>
      <w:bookmarkStart w:id="523" w:name="_Toc14778"/>
      <w:bookmarkStart w:id="524" w:name="_Toc8922"/>
      <w:bookmarkStart w:id="525" w:name="_Toc19249"/>
      <w:bookmarkStart w:id="526" w:name="_Toc31041"/>
      <w:bookmarkStart w:id="527" w:name="_Toc969"/>
      <w:bookmarkStart w:id="528" w:name="_Toc2878"/>
      <w:r>
        <w:rPr>
          <w:rFonts w:hint="eastAsia" w:ascii="宋体" w:hAnsi="宋体" w:eastAsia="宋体" w:cs="宋体"/>
          <w:color w:val="auto"/>
          <w:sz w:val="32"/>
          <w:szCs w:val="32"/>
        </w:rPr>
        <w:t xml:space="preserve">第五章  </w:t>
      </w:r>
      <w:bookmarkEnd w:id="520"/>
      <w:bookmarkEnd w:id="521"/>
      <w:bookmarkEnd w:id="522"/>
      <w:bookmarkEnd w:id="523"/>
      <w:bookmarkEnd w:id="524"/>
      <w:bookmarkEnd w:id="525"/>
      <w:bookmarkEnd w:id="526"/>
      <w:bookmarkEnd w:id="527"/>
      <w:r>
        <w:rPr>
          <w:rFonts w:hint="eastAsia" w:ascii="宋体" w:hAnsi="宋体" w:eastAsia="宋体" w:cs="宋体"/>
          <w:color w:val="auto"/>
          <w:sz w:val="32"/>
          <w:szCs w:val="32"/>
          <w:lang w:eastAsia="zh-CN"/>
        </w:rPr>
        <w:t>采购人需求</w:t>
      </w:r>
      <w:bookmarkEnd w:id="528"/>
    </w:p>
    <w:p w14:paraId="5FC4C0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一、劳务外包期限</w:t>
      </w:r>
    </w:p>
    <w:p w14:paraId="1D0FA8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自合同签订之日起12个月。</w:t>
      </w:r>
    </w:p>
    <w:p w14:paraId="66963C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二、工作内容</w:t>
      </w:r>
    </w:p>
    <w:p w14:paraId="5255AF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1.供应商负责为采购人制气车间提供煤气化岗位辅助及现场卫生清扫工作。具体如下：</w:t>
      </w:r>
    </w:p>
    <w:p w14:paraId="1A1165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（1）负责气化炉1-8楼及渣浆泵房地面及设备卫生，周边绿化卫生管理。</w:t>
      </w:r>
    </w:p>
    <w:p w14:paraId="6A522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（2）制气车间煤气化岗位辅助工作，（加焦30吨/次，每月加焦1次；疏通1-5#炉激冷室冷却器，每台冷却器3-6个月疏通一次；疏通1-3#炉废锅，每台废锅4-6个月疏通一次）、工作场所卫生清扫工作。</w:t>
      </w:r>
    </w:p>
    <w:p w14:paraId="5A1337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（3）负责1-5#炉煤尘分离器放煤工作,每周1次。</w:t>
      </w:r>
    </w:p>
    <w:p w14:paraId="4FA6EC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（4）负责现场临时整改的围栏、管道、楼板等部分防腐工作。</w:t>
      </w:r>
    </w:p>
    <w:p w14:paraId="14CA47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（5）气化厂房四周公共道路的卫生，当班期间要服从车间安排的临时任务,需加班加焦或疏通冷却器、废锅等紧急工作时，需随叫随到。</w:t>
      </w:r>
    </w:p>
    <w:p w14:paraId="427785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（6）以上工作要求至少8人，男工至少3人及以上，工作时间：每班8小时，每月休息4天，身体健康。年龄：50周岁以下。</w:t>
      </w:r>
    </w:p>
    <w:p w14:paraId="5E6EC1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2.供应商负责为采购人煤气水分离装置提供辅助工作。具体如下：</w:t>
      </w:r>
    </w:p>
    <w:p w14:paraId="7F6DFC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参与623装置的生产运行工作，负责当班期间623装置的生产运行维护工作，包含设备排污、运转设备启/停、煤泥输送、6#油输送、设备隔离/倒换等日常工作。跟班倒人员：至少4人，人员要求：男性，高中及以上学历，年龄：40周岁以下。</w:t>
      </w:r>
    </w:p>
    <w:p w14:paraId="163B22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负责5台盘冷却器的除垢清理、4台平流分离器、4台焦油分离器的日常倒换清洗、离心机系统的维护疏通以及装置现场卫生清理工作，服从车间调度参与其它装置的应急突击工作。白班人员：至少6人，人员要求：男性 初中及以上学历 年龄：50周岁以下。</w:t>
      </w:r>
    </w:p>
    <w:p w14:paraId="073D61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三、劳务费用的结算(计价)与支付时间</w:t>
      </w:r>
    </w:p>
    <w:p w14:paraId="03E180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1.劳务费用的结算以总费用包干形式结算，费用    元/月。(不含税   元，税   元)</w:t>
      </w:r>
    </w:p>
    <w:p w14:paraId="5A95C8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劳务费用包含劳务工资（含节假日和平时加班费）、管理费、税金、保险、劳动保护等费用。（上述费用为供应商人员按时到岗且无任何违反法律法规，无违反本合同约定义务的行为，且按时按量完成工作情况下采购人所需支付的费用）。623装置生产运行人员若学历不达标不允许进入工作岗位，按4000元/人/月标准进行考核。</w:t>
      </w:r>
    </w:p>
    <w:p w14:paraId="25E3E7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3.劳务费用结算时，根据考核结果确认应结算金额（结算时扣除供应商应支付的违约金和考核扣款金额），须经用工单位领导签字，党委工作与人力资源部审核，分管领导签字审批后，供应商开具  %的增值税专用发票，附劳务费用结算清单到采购人财务部结算、支付。  </w:t>
      </w:r>
    </w:p>
    <w:p w14:paraId="56174A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4.劳务费用结算时用工单位和党委工作与人力资源部对劳务完成情况等工作内容进行考核，填写劳务用工监督考核表，核对扣款金额后进入当月结算程序。       </w:t>
      </w:r>
    </w:p>
    <w:p w14:paraId="47A170F2">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auto"/>
          <w:highlight w:val="none"/>
        </w:rPr>
        <w:t>5.按月支付，先服务后付费，上月费用由采购人考核完成，并经供应商签字盖章确认后，按国家规定提供真实有效的税控发票挂账结算，采购人根据所确认考核结果和有效税控发票，于第三个月的5日前进行支付(特殊情况或法定假日可适当后延)。</w:t>
      </w:r>
    </w:p>
    <w:p w14:paraId="675BCFDA">
      <w:pPr>
        <w:spacing w:line="360" w:lineRule="auto"/>
        <w:ind w:firstLine="420" w:firstLineChars="200"/>
        <w:jc w:val="left"/>
        <w:rPr>
          <w:rFonts w:hint="eastAsia" w:ascii="宋体" w:hAnsi="宋体" w:cs="宋体"/>
        </w:rPr>
      </w:pPr>
      <w:r>
        <w:rPr>
          <w:rFonts w:hint="eastAsia" w:ascii="宋体" w:hAnsi="宋体" w:cs="宋体"/>
        </w:rPr>
        <w:br w:type="page"/>
      </w:r>
    </w:p>
    <w:p w14:paraId="58527482">
      <w:pPr>
        <w:pStyle w:val="2"/>
        <w:spacing w:line="360" w:lineRule="auto"/>
        <w:jc w:val="center"/>
        <w:rPr>
          <w:rFonts w:hint="eastAsia" w:ascii="宋体" w:hAnsi="宋体" w:eastAsia="宋体" w:cs="宋体"/>
          <w:color w:val="auto"/>
          <w:szCs w:val="28"/>
        </w:rPr>
      </w:pPr>
      <w:bookmarkStart w:id="529" w:name="_Toc86124092"/>
      <w:bookmarkStart w:id="530" w:name="_Toc4080"/>
      <w:bookmarkStart w:id="531" w:name="_Toc8670"/>
      <w:bookmarkStart w:id="532" w:name="_Toc9242"/>
      <w:bookmarkStart w:id="533" w:name="_Toc31430"/>
      <w:bookmarkStart w:id="534" w:name="_Toc24864"/>
      <w:bookmarkStart w:id="535" w:name="_Toc10051"/>
      <w:bookmarkStart w:id="536" w:name="_Toc15618"/>
      <w:bookmarkStart w:id="537" w:name="_Toc420917868"/>
      <w:bookmarkStart w:id="538" w:name="_Toc1058"/>
      <w:bookmarkStart w:id="539" w:name="_Toc3336"/>
      <w:bookmarkStart w:id="540" w:name="_Toc25074"/>
      <w:bookmarkStart w:id="541" w:name="_Toc1300"/>
      <w:r>
        <w:rPr>
          <w:rFonts w:hint="eastAsia" w:ascii="宋体" w:hAnsi="宋体" w:eastAsia="宋体" w:cs="宋体"/>
          <w:color w:val="auto"/>
          <w:sz w:val="32"/>
          <w:szCs w:val="32"/>
        </w:rPr>
        <w:t xml:space="preserve">第六章  </w:t>
      </w:r>
      <w:bookmarkEnd w:id="529"/>
      <w:r>
        <w:rPr>
          <w:rFonts w:hint="eastAsia" w:ascii="宋体" w:hAnsi="宋体" w:eastAsia="宋体" w:cs="宋体"/>
          <w:color w:val="auto"/>
          <w:sz w:val="32"/>
          <w:szCs w:val="32"/>
        </w:rPr>
        <w:t>谈判程序和方法</w:t>
      </w:r>
      <w:bookmarkEnd w:id="530"/>
      <w:bookmarkEnd w:id="531"/>
      <w:bookmarkEnd w:id="532"/>
      <w:bookmarkEnd w:id="533"/>
      <w:bookmarkEnd w:id="534"/>
      <w:bookmarkEnd w:id="535"/>
      <w:bookmarkEnd w:id="536"/>
      <w:bookmarkEnd w:id="537"/>
      <w:bookmarkEnd w:id="538"/>
      <w:bookmarkEnd w:id="539"/>
      <w:bookmarkEnd w:id="540"/>
      <w:bookmarkEnd w:id="541"/>
    </w:p>
    <w:p w14:paraId="2B029F47">
      <w:pPr>
        <w:pStyle w:val="3"/>
        <w:rPr>
          <w:rFonts w:hint="eastAsia" w:ascii="宋体" w:hAnsi="宋体" w:cs="宋体"/>
          <w:szCs w:val="21"/>
        </w:rPr>
      </w:pPr>
      <w:bookmarkStart w:id="542" w:name="_Toc326218110"/>
      <w:bookmarkStart w:id="543" w:name="_Toc3856"/>
      <w:bookmarkStart w:id="544" w:name="_Toc27899"/>
      <w:bookmarkStart w:id="545" w:name="_Toc17340"/>
      <w:bookmarkStart w:id="546" w:name="_Toc4583"/>
      <w:bookmarkStart w:id="547" w:name="_Toc24430"/>
      <w:bookmarkStart w:id="548" w:name="_Toc32066"/>
      <w:bookmarkStart w:id="549" w:name="_Toc30194"/>
      <w:bookmarkStart w:id="550" w:name="_Toc14335"/>
      <w:bookmarkStart w:id="551" w:name="_Toc22443"/>
      <w:bookmarkStart w:id="552" w:name="_Toc19004"/>
      <w:r>
        <w:rPr>
          <w:rFonts w:hint="eastAsia" w:ascii="宋体" w:hAnsi="宋体" w:cs="宋体"/>
          <w:sz w:val="21"/>
          <w:szCs w:val="21"/>
        </w:rPr>
        <w:t>谈判程序前附表</w:t>
      </w:r>
      <w:bookmarkEnd w:id="542"/>
      <w:bookmarkEnd w:id="543"/>
      <w:bookmarkEnd w:id="544"/>
      <w:bookmarkEnd w:id="545"/>
      <w:bookmarkEnd w:id="546"/>
      <w:bookmarkEnd w:id="547"/>
      <w:bookmarkEnd w:id="548"/>
      <w:bookmarkEnd w:id="549"/>
      <w:bookmarkEnd w:id="550"/>
      <w:bookmarkEnd w:id="551"/>
      <w:bookmarkEnd w:id="552"/>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6"/>
        <w:gridCol w:w="867"/>
        <w:gridCol w:w="1792"/>
        <w:gridCol w:w="6207"/>
        <w:gridCol w:w="6"/>
      </w:tblGrid>
      <w:tr w14:paraId="24C60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1733" w:type="dxa"/>
            <w:gridSpan w:val="3"/>
            <w:noWrap w:val="0"/>
            <w:vAlign w:val="center"/>
          </w:tcPr>
          <w:p w14:paraId="173F5140">
            <w:pPr>
              <w:spacing w:before="100" w:beforeAutospacing="1" w:after="100" w:afterAutospacing="1" w:line="360" w:lineRule="auto"/>
              <w:jc w:val="center"/>
              <w:rPr>
                <w:rFonts w:hint="eastAsia" w:ascii="宋体" w:hAnsi="宋体" w:cs="宋体"/>
                <w:b/>
                <w:szCs w:val="21"/>
              </w:rPr>
            </w:pPr>
            <w:r>
              <w:rPr>
                <w:rFonts w:hint="eastAsia" w:ascii="宋体" w:hAnsi="宋体" w:cs="宋体"/>
                <w:b/>
                <w:szCs w:val="21"/>
              </w:rPr>
              <w:t>条款号</w:t>
            </w:r>
          </w:p>
        </w:tc>
        <w:tc>
          <w:tcPr>
            <w:tcW w:w="1792" w:type="dxa"/>
            <w:noWrap w:val="0"/>
            <w:vAlign w:val="center"/>
          </w:tcPr>
          <w:p w14:paraId="0C798716">
            <w:pPr>
              <w:spacing w:before="100" w:beforeAutospacing="1" w:after="100" w:afterAutospacing="1" w:line="360" w:lineRule="auto"/>
              <w:jc w:val="center"/>
              <w:rPr>
                <w:rFonts w:hint="eastAsia" w:ascii="宋体" w:hAnsi="宋体" w:cs="宋体"/>
                <w:b/>
                <w:szCs w:val="21"/>
              </w:rPr>
            </w:pPr>
            <w:r>
              <w:rPr>
                <w:rFonts w:hint="eastAsia" w:ascii="宋体" w:hAnsi="宋体" w:cs="宋体"/>
                <w:b/>
                <w:szCs w:val="21"/>
              </w:rPr>
              <w:t>评 审 内 容</w:t>
            </w:r>
          </w:p>
        </w:tc>
        <w:tc>
          <w:tcPr>
            <w:tcW w:w="6213" w:type="dxa"/>
            <w:gridSpan w:val="2"/>
            <w:noWrap w:val="0"/>
            <w:vAlign w:val="center"/>
          </w:tcPr>
          <w:p w14:paraId="663B0374">
            <w:pPr>
              <w:spacing w:before="100" w:beforeAutospacing="1" w:after="100" w:afterAutospacing="1" w:line="360" w:lineRule="auto"/>
              <w:jc w:val="center"/>
              <w:rPr>
                <w:rFonts w:hint="eastAsia" w:ascii="宋体" w:hAnsi="宋体" w:cs="宋体"/>
                <w:b/>
                <w:szCs w:val="21"/>
              </w:rPr>
            </w:pPr>
            <w:r>
              <w:rPr>
                <w:rFonts w:hint="eastAsia" w:ascii="宋体" w:hAnsi="宋体" w:cs="宋体"/>
                <w:b/>
                <w:szCs w:val="21"/>
              </w:rPr>
              <w:t>评 审 标 准</w:t>
            </w:r>
          </w:p>
        </w:tc>
      </w:tr>
      <w:tr w14:paraId="3D9CC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jc w:val="center"/>
        </w:trPr>
        <w:tc>
          <w:tcPr>
            <w:tcW w:w="9738" w:type="dxa"/>
            <w:gridSpan w:val="6"/>
            <w:noWrap w:val="0"/>
            <w:vAlign w:val="center"/>
          </w:tcPr>
          <w:p w14:paraId="6D991805">
            <w:pPr>
              <w:spacing w:before="100" w:beforeAutospacing="1" w:after="100" w:afterAutospacing="1" w:line="360" w:lineRule="auto"/>
              <w:jc w:val="left"/>
              <w:rPr>
                <w:rFonts w:hint="eastAsia" w:ascii="宋体" w:hAnsi="宋体" w:cs="宋体"/>
                <w:b/>
                <w:szCs w:val="21"/>
              </w:rPr>
            </w:pPr>
            <w:r>
              <w:rPr>
                <w:rFonts w:hint="eastAsia" w:ascii="宋体" w:hAnsi="宋体" w:cs="宋体"/>
                <w:szCs w:val="21"/>
              </w:rPr>
              <w:t>2.1实质性要求评审</w:t>
            </w:r>
          </w:p>
        </w:tc>
      </w:tr>
      <w:tr w14:paraId="1EF95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66" w:type="dxa"/>
            <w:gridSpan w:val="2"/>
            <w:noWrap w:val="0"/>
            <w:vAlign w:val="center"/>
          </w:tcPr>
          <w:p w14:paraId="606FF756">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2.1.1</w:t>
            </w:r>
          </w:p>
        </w:tc>
        <w:tc>
          <w:tcPr>
            <w:tcW w:w="867" w:type="dxa"/>
            <w:noWrap w:val="0"/>
            <w:vAlign w:val="center"/>
          </w:tcPr>
          <w:p w14:paraId="4C1397B4">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资格评审标准</w:t>
            </w:r>
          </w:p>
        </w:tc>
        <w:tc>
          <w:tcPr>
            <w:tcW w:w="1792" w:type="dxa"/>
            <w:noWrap w:val="0"/>
            <w:vAlign w:val="center"/>
          </w:tcPr>
          <w:p w14:paraId="0E4AF867">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资格条件</w:t>
            </w:r>
          </w:p>
        </w:tc>
        <w:tc>
          <w:tcPr>
            <w:tcW w:w="6213" w:type="dxa"/>
            <w:gridSpan w:val="2"/>
            <w:noWrap w:val="0"/>
            <w:vAlign w:val="center"/>
          </w:tcPr>
          <w:p w14:paraId="48CCAECF">
            <w:pPr>
              <w:spacing w:before="100" w:beforeAutospacing="1" w:after="100" w:afterAutospacing="1" w:line="360" w:lineRule="auto"/>
              <w:jc w:val="left"/>
              <w:rPr>
                <w:rFonts w:hint="eastAsia" w:ascii="宋体" w:hAnsi="宋体" w:cs="宋体"/>
                <w:szCs w:val="21"/>
              </w:rPr>
            </w:pPr>
            <w:r>
              <w:rPr>
                <w:rFonts w:hint="eastAsia" w:ascii="宋体" w:hAnsi="宋体" w:cs="宋体"/>
                <w:szCs w:val="21"/>
              </w:rPr>
              <w:t>符合第二章“供应商须知”第4.1项规定</w:t>
            </w:r>
          </w:p>
        </w:tc>
      </w:tr>
      <w:tr w14:paraId="2116C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866" w:type="dxa"/>
            <w:gridSpan w:val="2"/>
            <w:vMerge w:val="restart"/>
            <w:noWrap w:val="0"/>
            <w:vAlign w:val="center"/>
          </w:tcPr>
          <w:p w14:paraId="76733069">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2.1.2</w:t>
            </w:r>
          </w:p>
        </w:tc>
        <w:tc>
          <w:tcPr>
            <w:tcW w:w="867" w:type="dxa"/>
            <w:vMerge w:val="restart"/>
            <w:noWrap w:val="0"/>
            <w:vAlign w:val="center"/>
          </w:tcPr>
          <w:p w14:paraId="006A255A">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符合性评审标准</w:t>
            </w:r>
          </w:p>
        </w:tc>
        <w:tc>
          <w:tcPr>
            <w:tcW w:w="1792" w:type="dxa"/>
            <w:noWrap w:val="0"/>
            <w:vAlign w:val="center"/>
          </w:tcPr>
          <w:p w14:paraId="32DDAB29">
            <w:pPr>
              <w:spacing w:before="100" w:beforeAutospacing="1" w:after="100" w:afterAutospacing="1" w:line="360" w:lineRule="auto"/>
              <w:jc w:val="center"/>
              <w:rPr>
                <w:rFonts w:hint="eastAsia" w:ascii="宋体" w:hAnsi="宋体" w:cs="宋体"/>
                <w:szCs w:val="21"/>
              </w:rPr>
            </w:pPr>
            <w:r>
              <w:rPr>
                <w:rFonts w:hint="eastAsia" w:ascii="宋体" w:hAnsi="宋体" w:cs="宋体"/>
                <w:bCs/>
                <w:szCs w:val="21"/>
              </w:rPr>
              <w:t>谈判申请函</w:t>
            </w:r>
          </w:p>
        </w:tc>
        <w:tc>
          <w:tcPr>
            <w:tcW w:w="6213" w:type="dxa"/>
            <w:gridSpan w:val="2"/>
            <w:noWrap w:val="0"/>
            <w:vAlign w:val="center"/>
          </w:tcPr>
          <w:p w14:paraId="5D2ACA2C">
            <w:pPr>
              <w:spacing w:line="360" w:lineRule="auto"/>
              <w:jc w:val="left"/>
              <w:rPr>
                <w:rFonts w:hint="eastAsia" w:ascii="宋体" w:hAnsi="宋体" w:cs="宋体"/>
                <w:szCs w:val="21"/>
              </w:rPr>
            </w:pPr>
            <w:r>
              <w:rPr>
                <w:rFonts w:hint="eastAsia" w:ascii="宋体" w:hAnsi="宋体" w:cs="宋体"/>
                <w:szCs w:val="21"/>
              </w:rPr>
              <w:t>有法定代表人或其委托代理人签字，并盖单位章；</w:t>
            </w:r>
          </w:p>
          <w:p w14:paraId="56C06CF4">
            <w:pPr>
              <w:spacing w:line="360" w:lineRule="auto"/>
              <w:jc w:val="left"/>
              <w:rPr>
                <w:rFonts w:hint="eastAsia" w:ascii="宋体" w:hAnsi="宋体" w:cs="宋体"/>
                <w:szCs w:val="21"/>
              </w:rPr>
            </w:pPr>
            <w:r>
              <w:rPr>
                <w:rFonts w:hint="eastAsia" w:ascii="宋体" w:hAnsi="宋体" w:cs="宋体"/>
                <w:szCs w:val="21"/>
              </w:rPr>
              <w:t>符合第四章“响应文件格式”中规定的格式及内容。</w:t>
            </w:r>
          </w:p>
        </w:tc>
      </w:tr>
      <w:tr w14:paraId="33BA1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66" w:type="dxa"/>
            <w:gridSpan w:val="2"/>
            <w:vMerge w:val="continue"/>
            <w:noWrap w:val="0"/>
            <w:vAlign w:val="center"/>
          </w:tcPr>
          <w:p w14:paraId="681F8CB1">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1C341E37">
            <w:pPr>
              <w:spacing w:before="100" w:beforeAutospacing="1" w:after="100" w:afterAutospacing="1" w:line="360" w:lineRule="auto"/>
              <w:rPr>
                <w:rFonts w:hint="eastAsia" w:ascii="宋体" w:hAnsi="宋体" w:cs="宋体"/>
                <w:szCs w:val="21"/>
              </w:rPr>
            </w:pPr>
          </w:p>
        </w:tc>
        <w:tc>
          <w:tcPr>
            <w:tcW w:w="1792" w:type="dxa"/>
            <w:noWrap w:val="0"/>
            <w:vAlign w:val="center"/>
          </w:tcPr>
          <w:p w14:paraId="5DEF81F6">
            <w:pPr>
              <w:spacing w:line="360" w:lineRule="auto"/>
              <w:jc w:val="center"/>
              <w:rPr>
                <w:rFonts w:hint="eastAsia" w:ascii="宋体" w:hAnsi="宋体" w:cs="宋体"/>
                <w:szCs w:val="21"/>
              </w:rPr>
            </w:pPr>
            <w:r>
              <w:rPr>
                <w:rFonts w:hint="eastAsia" w:ascii="宋体" w:hAnsi="宋体" w:cs="宋体"/>
                <w:szCs w:val="21"/>
              </w:rPr>
              <w:t>法定代表人身份证明书</w:t>
            </w:r>
          </w:p>
        </w:tc>
        <w:tc>
          <w:tcPr>
            <w:tcW w:w="6213" w:type="dxa"/>
            <w:gridSpan w:val="2"/>
            <w:noWrap w:val="0"/>
            <w:vAlign w:val="center"/>
          </w:tcPr>
          <w:p w14:paraId="3A353EDC">
            <w:pPr>
              <w:spacing w:line="360" w:lineRule="auto"/>
              <w:jc w:val="left"/>
              <w:rPr>
                <w:rFonts w:hint="eastAsia" w:ascii="宋体" w:hAnsi="宋体" w:cs="宋体"/>
                <w:szCs w:val="21"/>
              </w:rPr>
            </w:pPr>
            <w:r>
              <w:rPr>
                <w:rFonts w:hint="eastAsia" w:ascii="宋体" w:hAnsi="宋体" w:cs="宋体"/>
                <w:szCs w:val="21"/>
              </w:rPr>
              <w:t>符合谈判文件规定的格式及内容，并盖单位章；</w:t>
            </w:r>
          </w:p>
        </w:tc>
      </w:tr>
      <w:tr w14:paraId="20D9F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6" w:type="dxa"/>
            <w:gridSpan w:val="2"/>
            <w:vMerge w:val="continue"/>
            <w:noWrap w:val="0"/>
            <w:vAlign w:val="center"/>
          </w:tcPr>
          <w:p w14:paraId="4C06D15B">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642E1AAD">
            <w:pPr>
              <w:spacing w:before="100" w:beforeAutospacing="1" w:after="100" w:afterAutospacing="1" w:line="360" w:lineRule="auto"/>
              <w:rPr>
                <w:rFonts w:hint="eastAsia" w:ascii="宋体" w:hAnsi="宋体" w:cs="宋体"/>
                <w:szCs w:val="21"/>
              </w:rPr>
            </w:pPr>
          </w:p>
        </w:tc>
        <w:tc>
          <w:tcPr>
            <w:tcW w:w="1792" w:type="dxa"/>
            <w:noWrap w:val="0"/>
            <w:vAlign w:val="center"/>
          </w:tcPr>
          <w:p w14:paraId="4F5AEAF5">
            <w:pPr>
              <w:spacing w:line="360" w:lineRule="auto"/>
              <w:jc w:val="center"/>
              <w:rPr>
                <w:rFonts w:hint="eastAsia" w:ascii="宋体" w:hAnsi="宋体" w:cs="宋体"/>
                <w:szCs w:val="21"/>
              </w:rPr>
            </w:pPr>
            <w:r>
              <w:rPr>
                <w:rFonts w:hint="eastAsia" w:ascii="宋体" w:hAnsi="宋体" w:cs="宋体"/>
                <w:szCs w:val="21"/>
              </w:rPr>
              <w:t>法定代表人授权委托书</w:t>
            </w:r>
          </w:p>
        </w:tc>
        <w:tc>
          <w:tcPr>
            <w:tcW w:w="6213" w:type="dxa"/>
            <w:gridSpan w:val="2"/>
            <w:noWrap w:val="0"/>
            <w:vAlign w:val="center"/>
          </w:tcPr>
          <w:p w14:paraId="30F5B13F">
            <w:pPr>
              <w:spacing w:line="360" w:lineRule="auto"/>
              <w:jc w:val="left"/>
              <w:rPr>
                <w:rFonts w:hint="eastAsia" w:ascii="宋体" w:hAnsi="宋体" w:cs="宋体"/>
                <w:szCs w:val="21"/>
              </w:rPr>
            </w:pPr>
            <w:r>
              <w:rPr>
                <w:rFonts w:hint="eastAsia" w:ascii="宋体" w:hAnsi="宋体" w:cs="宋体"/>
                <w:szCs w:val="21"/>
              </w:rPr>
              <w:t>有法定代表人及其委托代理人签字，并盖单位章；</w:t>
            </w:r>
          </w:p>
        </w:tc>
      </w:tr>
      <w:tr w14:paraId="2074F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exact"/>
          <w:jc w:val="center"/>
        </w:trPr>
        <w:tc>
          <w:tcPr>
            <w:tcW w:w="866" w:type="dxa"/>
            <w:gridSpan w:val="2"/>
            <w:vMerge w:val="continue"/>
            <w:noWrap w:val="0"/>
            <w:vAlign w:val="center"/>
          </w:tcPr>
          <w:p w14:paraId="2F7F70C1">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34A9C1EE">
            <w:pPr>
              <w:spacing w:before="100" w:beforeAutospacing="1" w:after="100" w:afterAutospacing="1" w:line="360" w:lineRule="auto"/>
              <w:rPr>
                <w:rFonts w:hint="eastAsia" w:ascii="宋体" w:hAnsi="宋体" w:cs="宋体"/>
                <w:szCs w:val="21"/>
              </w:rPr>
            </w:pPr>
          </w:p>
        </w:tc>
        <w:tc>
          <w:tcPr>
            <w:tcW w:w="1792" w:type="dxa"/>
            <w:noWrap w:val="0"/>
            <w:vAlign w:val="center"/>
          </w:tcPr>
          <w:p w14:paraId="52A7E699">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谈判报价</w:t>
            </w:r>
          </w:p>
        </w:tc>
        <w:tc>
          <w:tcPr>
            <w:tcW w:w="6213" w:type="dxa"/>
            <w:gridSpan w:val="2"/>
            <w:noWrap w:val="0"/>
            <w:vAlign w:val="center"/>
          </w:tcPr>
          <w:p w14:paraId="31128413">
            <w:pPr>
              <w:spacing w:before="100" w:beforeAutospacing="1" w:after="100" w:afterAutospacing="1" w:line="360" w:lineRule="auto"/>
              <w:jc w:val="left"/>
              <w:rPr>
                <w:rFonts w:hint="eastAsia" w:ascii="宋体" w:hAnsi="宋体" w:cs="宋体"/>
                <w:szCs w:val="21"/>
              </w:rPr>
            </w:pPr>
            <w:r>
              <w:rPr>
                <w:rFonts w:hint="eastAsia"/>
              </w:rPr>
              <w:t>供应商按谈判文件要求进行报价；</w:t>
            </w:r>
          </w:p>
        </w:tc>
      </w:tr>
      <w:tr w14:paraId="1AF26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jc w:val="center"/>
        </w:trPr>
        <w:tc>
          <w:tcPr>
            <w:tcW w:w="866" w:type="dxa"/>
            <w:gridSpan w:val="2"/>
            <w:vMerge w:val="continue"/>
            <w:noWrap w:val="0"/>
            <w:vAlign w:val="center"/>
          </w:tcPr>
          <w:p w14:paraId="57A46582">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290037BB">
            <w:pPr>
              <w:spacing w:before="100" w:beforeAutospacing="1" w:after="100" w:afterAutospacing="1" w:line="360" w:lineRule="auto"/>
              <w:rPr>
                <w:rFonts w:hint="eastAsia" w:ascii="宋体" w:hAnsi="宋体" w:cs="宋体"/>
                <w:szCs w:val="21"/>
              </w:rPr>
            </w:pPr>
          </w:p>
        </w:tc>
        <w:tc>
          <w:tcPr>
            <w:tcW w:w="1792" w:type="dxa"/>
            <w:noWrap w:val="0"/>
            <w:vAlign w:val="center"/>
          </w:tcPr>
          <w:p w14:paraId="6E4285C9">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谈判有效期</w:t>
            </w:r>
          </w:p>
        </w:tc>
        <w:tc>
          <w:tcPr>
            <w:tcW w:w="6213" w:type="dxa"/>
            <w:gridSpan w:val="2"/>
            <w:noWrap w:val="0"/>
            <w:vAlign w:val="center"/>
          </w:tcPr>
          <w:p w14:paraId="463D6EE7">
            <w:pPr>
              <w:spacing w:before="100" w:beforeAutospacing="1" w:after="100" w:afterAutospacing="1" w:line="360" w:lineRule="auto"/>
              <w:jc w:val="left"/>
              <w:rPr>
                <w:rFonts w:hint="eastAsia" w:ascii="宋体" w:hAnsi="宋体" w:cs="宋体"/>
                <w:szCs w:val="21"/>
              </w:rPr>
            </w:pPr>
            <w:r>
              <w:rPr>
                <w:rFonts w:hint="eastAsia" w:ascii="宋体" w:hAnsi="宋体" w:cs="宋体"/>
                <w:szCs w:val="21"/>
              </w:rPr>
              <w:t>符合第二章“供应商须知”第13.1项规定；</w:t>
            </w:r>
          </w:p>
        </w:tc>
      </w:tr>
      <w:tr w14:paraId="39B38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exact"/>
          <w:jc w:val="center"/>
        </w:trPr>
        <w:tc>
          <w:tcPr>
            <w:tcW w:w="866" w:type="dxa"/>
            <w:gridSpan w:val="2"/>
            <w:vMerge w:val="continue"/>
            <w:noWrap w:val="0"/>
            <w:vAlign w:val="center"/>
          </w:tcPr>
          <w:p w14:paraId="3908A700">
            <w:pPr>
              <w:spacing w:before="100" w:beforeAutospacing="1" w:after="100" w:afterAutospacing="1" w:line="360" w:lineRule="auto"/>
              <w:rPr>
                <w:rFonts w:hint="eastAsia" w:ascii="宋体" w:hAnsi="宋体" w:cs="宋体"/>
                <w:szCs w:val="21"/>
              </w:rPr>
            </w:pPr>
          </w:p>
        </w:tc>
        <w:tc>
          <w:tcPr>
            <w:tcW w:w="867" w:type="dxa"/>
            <w:vMerge w:val="continue"/>
            <w:noWrap w:val="0"/>
            <w:vAlign w:val="center"/>
          </w:tcPr>
          <w:p w14:paraId="68EAA636">
            <w:pPr>
              <w:spacing w:before="100" w:beforeAutospacing="1" w:after="100" w:afterAutospacing="1" w:line="360" w:lineRule="auto"/>
              <w:rPr>
                <w:rFonts w:hint="eastAsia" w:ascii="宋体" w:hAnsi="宋体" w:cs="宋体"/>
                <w:szCs w:val="21"/>
              </w:rPr>
            </w:pPr>
          </w:p>
        </w:tc>
        <w:tc>
          <w:tcPr>
            <w:tcW w:w="1792" w:type="dxa"/>
            <w:noWrap w:val="0"/>
            <w:vAlign w:val="center"/>
          </w:tcPr>
          <w:p w14:paraId="7E453D9F">
            <w:pPr>
              <w:spacing w:before="100" w:beforeAutospacing="1" w:after="100" w:afterAutospacing="1" w:line="360" w:lineRule="auto"/>
              <w:jc w:val="center"/>
              <w:rPr>
                <w:rFonts w:hint="eastAsia" w:ascii="宋体" w:hAnsi="宋体" w:cs="宋体"/>
                <w:szCs w:val="21"/>
              </w:rPr>
            </w:pPr>
            <w:r>
              <w:rPr>
                <w:rFonts w:hint="eastAsia" w:ascii="宋体" w:hAnsi="宋体" w:cs="宋体"/>
                <w:szCs w:val="21"/>
              </w:rPr>
              <w:t>其它实质性条件</w:t>
            </w:r>
          </w:p>
        </w:tc>
        <w:tc>
          <w:tcPr>
            <w:tcW w:w="6213" w:type="dxa"/>
            <w:gridSpan w:val="2"/>
            <w:noWrap w:val="0"/>
            <w:vAlign w:val="center"/>
          </w:tcPr>
          <w:p w14:paraId="298D6E86">
            <w:pPr>
              <w:spacing w:line="360" w:lineRule="auto"/>
              <w:rPr>
                <w:rFonts w:hint="eastAsia" w:ascii="宋体" w:hAnsi="宋体" w:cs="宋体"/>
                <w:szCs w:val="21"/>
              </w:rPr>
            </w:pPr>
            <w:r>
              <w:rPr>
                <w:rFonts w:hint="eastAsia" w:ascii="宋体" w:hAnsi="宋体" w:cs="宋体"/>
                <w:szCs w:val="21"/>
              </w:rPr>
              <w:t>谈判文件中标注★条款内容。</w:t>
            </w:r>
          </w:p>
        </w:tc>
      </w:tr>
      <w:tr w14:paraId="40019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6" w:hRule="exact"/>
          <w:jc w:val="center"/>
        </w:trPr>
        <w:tc>
          <w:tcPr>
            <w:tcW w:w="866" w:type="dxa"/>
            <w:gridSpan w:val="2"/>
            <w:noWrap w:val="0"/>
            <w:vAlign w:val="center"/>
          </w:tcPr>
          <w:p w14:paraId="7728F618">
            <w:pPr>
              <w:spacing w:line="360" w:lineRule="auto"/>
              <w:rPr>
                <w:rFonts w:hint="eastAsia" w:ascii="宋体" w:hAnsi="宋体" w:cs="宋体"/>
                <w:szCs w:val="21"/>
              </w:rPr>
            </w:pPr>
            <w:r>
              <w:rPr>
                <w:rFonts w:hint="eastAsia" w:ascii="宋体" w:hAnsi="宋体" w:cs="宋体"/>
                <w:szCs w:val="21"/>
              </w:rPr>
              <w:t>2.2</w:t>
            </w:r>
          </w:p>
        </w:tc>
        <w:tc>
          <w:tcPr>
            <w:tcW w:w="867" w:type="dxa"/>
            <w:noWrap w:val="0"/>
            <w:vAlign w:val="center"/>
          </w:tcPr>
          <w:p w14:paraId="3BA2C865">
            <w:pPr>
              <w:spacing w:line="360" w:lineRule="auto"/>
              <w:jc w:val="center"/>
              <w:rPr>
                <w:rFonts w:hint="eastAsia" w:ascii="宋体" w:hAnsi="宋体" w:cs="宋体"/>
                <w:szCs w:val="21"/>
              </w:rPr>
            </w:pPr>
            <w:r>
              <w:rPr>
                <w:rFonts w:hint="eastAsia" w:ascii="宋体" w:hAnsi="宋体" w:cs="宋体"/>
                <w:szCs w:val="21"/>
              </w:rPr>
              <w:t>详细评审标准</w:t>
            </w:r>
          </w:p>
        </w:tc>
        <w:tc>
          <w:tcPr>
            <w:tcW w:w="1792" w:type="dxa"/>
            <w:noWrap w:val="0"/>
            <w:vAlign w:val="center"/>
          </w:tcPr>
          <w:p w14:paraId="7E136121">
            <w:pPr>
              <w:spacing w:line="360" w:lineRule="auto"/>
              <w:jc w:val="center"/>
              <w:rPr>
                <w:rFonts w:hint="eastAsia" w:ascii="宋体" w:hAnsi="宋体" w:cs="宋体"/>
                <w:color w:val="auto"/>
                <w:szCs w:val="21"/>
              </w:rPr>
            </w:pPr>
            <w:r>
              <w:rPr>
                <w:rFonts w:hint="eastAsia" w:ascii="宋体" w:hAnsi="宋体" w:cs="宋体"/>
                <w:color w:val="auto"/>
                <w:szCs w:val="21"/>
              </w:rPr>
              <w:t>评审总得分计算公式</w:t>
            </w:r>
          </w:p>
        </w:tc>
        <w:tc>
          <w:tcPr>
            <w:tcW w:w="6213" w:type="dxa"/>
            <w:gridSpan w:val="2"/>
            <w:noWrap w:val="0"/>
            <w:vAlign w:val="center"/>
          </w:tcPr>
          <w:p w14:paraId="01D5628E">
            <w:pPr>
              <w:spacing w:line="360" w:lineRule="auto"/>
              <w:rPr>
                <w:rFonts w:hint="eastAsia" w:ascii="宋体" w:hAnsi="宋体" w:cs="宋体"/>
                <w:color w:val="auto"/>
                <w:szCs w:val="21"/>
              </w:rPr>
            </w:pPr>
            <w:r>
              <w:rPr>
                <w:rFonts w:hint="eastAsia" w:ascii="宋体" w:hAnsi="宋体" w:cs="宋体"/>
                <w:color w:val="auto"/>
                <w:szCs w:val="21"/>
              </w:rPr>
              <w:t>供应商的谈判总得分满分100分，</w:t>
            </w:r>
          </w:p>
          <w:p w14:paraId="46A23E22">
            <w:pPr>
              <w:spacing w:line="360" w:lineRule="auto"/>
              <w:rPr>
                <w:rFonts w:hint="eastAsia" w:ascii="宋体" w:hAnsi="宋体" w:cs="宋体"/>
                <w:color w:val="auto"/>
                <w:szCs w:val="21"/>
              </w:rPr>
            </w:pPr>
            <w:r>
              <w:rPr>
                <w:rFonts w:hint="eastAsia" w:ascii="宋体" w:hAnsi="宋体" w:cs="宋体"/>
                <w:color w:val="auto"/>
                <w:szCs w:val="21"/>
              </w:rPr>
              <w:t>供应商的谈判总得分= F1+F2+F3</w:t>
            </w:r>
          </w:p>
          <w:p w14:paraId="25B6444D">
            <w:pPr>
              <w:spacing w:line="360" w:lineRule="auto"/>
              <w:rPr>
                <w:rFonts w:hint="eastAsia" w:ascii="宋体" w:hAnsi="宋体" w:cs="宋体"/>
                <w:color w:val="auto"/>
                <w:szCs w:val="21"/>
              </w:rPr>
            </w:pPr>
            <w:r>
              <w:rPr>
                <w:rFonts w:hint="eastAsia" w:ascii="宋体" w:hAnsi="宋体" w:cs="宋体"/>
                <w:color w:val="auto"/>
                <w:szCs w:val="21"/>
              </w:rPr>
              <w:t>1、F1、F2、F3分别为谈判报价、技术部分、商务部分3项评分因素的汇总得分；</w:t>
            </w:r>
          </w:p>
          <w:p w14:paraId="0F34FDEA">
            <w:pPr>
              <w:spacing w:line="360" w:lineRule="auto"/>
              <w:rPr>
                <w:rFonts w:hint="eastAsia" w:ascii="宋体" w:hAnsi="宋体" w:cs="宋体"/>
                <w:color w:val="auto"/>
                <w:szCs w:val="21"/>
              </w:rPr>
            </w:pPr>
            <w:r>
              <w:rPr>
                <w:rFonts w:hint="eastAsia" w:ascii="宋体" w:hAnsi="宋体" w:cs="宋体"/>
                <w:color w:val="auto"/>
                <w:szCs w:val="21"/>
              </w:rPr>
              <w:t>2、权重：</w:t>
            </w:r>
          </w:p>
          <w:p w14:paraId="47DD2785">
            <w:pPr>
              <w:spacing w:line="360" w:lineRule="auto"/>
              <w:rPr>
                <w:rFonts w:hint="eastAsia" w:ascii="宋体" w:hAnsi="宋体" w:cs="宋体"/>
                <w:color w:val="auto"/>
                <w:szCs w:val="21"/>
              </w:rPr>
            </w:pPr>
            <w:r>
              <w:rPr>
                <w:rFonts w:hint="eastAsia" w:ascii="宋体" w:hAnsi="宋体" w:cs="宋体"/>
                <w:color w:val="auto"/>
                <w:szCs w:val="21"/>
              </w:rPr>
              <w:t>谈判报价F1：分值为</w:t>
            </w:r>
            <w:r>
              <w:rPr>
                <w:rFonts w:hint="eastAsia" w:ascii="宋体" w:hAnsi="宋体" w:cs="宋体"/>
                <w:color w:val="auto"/>
                <w:szCs w:val="21"/>
                <w:lang w:val="en-US" w:eastAsia="zh-CN"/>
              </w:rPr>
              <w:t>5</w:t>
            </w:r>
            <w:r>
              <w:rPr>
                <w:rFonts w:hint="eastAsia" w:ascii="宋体" w:hAnsi="宋体" w:cs="宋体"/>
                <w:color w:val="auto"/>
                <w:szCs w:val="21"/>
              </w:rPr>
              <w:t>0。</w:t>
            </w:r>
          </w:p>
          <w:p w14:paraId="2520CAFE">
            <w:pPr>
              <w:spacing w:line="360" w:lineRule="auto"/>
              <w:rPr>
                <w:rFonts w:hint="eastAsia" w:ascii="宋体" w:hAnsi="宋体" w:cs="宋体"/>
                <w:color w:val="auto"/>
                <w:szCs w:val="21"/>
              </w:rPr>
            </w:pPr>
            <w:r>
              <w:rPr>
                <w:rFonts w:hint="eastAsia" w:ascii="宋体" w:hAnsi="宋体" w:cs="宋体"/>
                <w:color w:val="auto"/>
                <w:szCs w:val="21"/>
              </w:rPr>
              <w:t>技术部分F2：分值为</w:t>
            </w:r>
            <w:r>
              <w:rPr>
                <w:rFonts w:hint="eastAsia" w:ascii="宋体" w:hAnsi="宋体" w:cs="宋体"/>
                <w:color w:val="auto"/>
                <w:szCs w:val="21"/>
                <w:lang w:val="en-US" w:eastAsia="zh-CN"/>
              </w:rPr>
              <w:t>4</w:t>
            </w:r>
            <w:r>
              <w:rPr>
                <w:rFonts w:hint="eastAsia" w:ascii="宋体" w:hAnsi="宋体" w:cs="宋体"/>
                <w:color w:val="auto"/>
                <w:szCs w:val="21"/>
              </w:rPr>
              <w:t>0。</w:t>
            </w:r>
          </w:p>
          <w:p w14:paraId="70278371">
            <w:pPr>
              <w:rPr>
                <w:rFonts w:hint="eastAsia" w:ascii="宋体" w:hAnsi="宋体" w:cs="宋体"/>
                <w:color w:val="auto"/>
                <w:szCs w:val="21"/>
              </w:rPr>
            </w:pPr>
            <w:r>
              <w:rPr>
                <w:rFonts w:hint="eastAsia" w:ascii="宋体" w:hAnsi="宋体" w:cs="宋体"/>
                <w:color w:val="auto"/>
                <w:szCs w:val="21"/>
              </w:rPr>
              <w:t>商务部分F3：分值为10。</w:t>
            </w:r>
          </w:p>
          <w:p w14:paraId="4BE7BB08">
            <w:pPr>
              <w:rPr>
                <w:rFonts w:hint="eastAsia" w:ascii="宋体" w:hAnsi="宋体" w:cs="宋体"/>
                <w:color w:val="auto"/>
                <w:szCs w:val="21"/>
              </w:rPr>
            </w:pPr>
          </w:p>
          <w:p w14:paraId="7B014C1F">
            <w:pPr>
              <w:rPr>
                <w:rFonts w:hint="eastAsia" w:ascii="宋体" w:hAnsi="宋体" w:cs="宋体"/>
                <w:color w:val="auto"/>
                <w:szCs w:val="21"/>
              </w:rPr>
            </w:pPr>
          </w:p>
          <w:p w14:paraId="1B5B1943">
            <w:pPr>
              <w:rPr>
                <w:rFonts w:hint="eastAsia" w:ascii="宋体" w:hAnsi="宋体" w:cs="宋体"/>
                <w:color w:val="auto"/>
                <w:szCs w:val="21"/>
              </w:rPr>
            </w:pPr>
          </w:p>
          <w:p w14:paraId="7A4561B5">
            <w:pPr>
              <w:rPr>
                <w:rFonts w:hint="eastAsia" w:ascii="宋体" w:hAnsi="宋体" w:cs="宋体"/>
                <w:color w:val="auto"/>
                <w:szCs w:val="21"/>
              </w:rPr>
            </w:pPr>
          </w:p>
          <w:p w14:paraId="036F429B">
            <w:pPr>
              <w:rPr>
                <w:rFonts w:hint="eastAsia" w:ascii="宋体" w:hAnsi="宋体" w:cs="宋体"/>
                <w:color w:val="auto"/>
                <w:szCs w:val="21"/>
              </w:rPr>
            </w:pPr>
          </w:p>
          <w:p w14:paraId="1E318C10">
            <w:pPr>
              <w:rPr>
                <w:rFonts w:hint="eastAsia" w:ascii="宋体" w:hAnsi="宋体" w:cs="宋体"/>
                <w:color w:val="auto"/>
                <w:szCs w:val="21"/>
              </w:rPr>
            </w:pPr>
          </w:p>
          <w:p w14:paraId="0BB61FA9">
            <w:pPr>
              <w:rPr>
                <w:rFonts w:hint="eastAsia" w:ascii="宋体" w:hAnsi="宋体" w:cs="宋体"/>
                <w:color w:val="auto"/>
                <w:szCs w:val="21"/>
              </w:rPr>
            </w:pPr>
          </w:p>
          <w:p w14:paraId="25380A3A">
            <w:pPr>
              <w:rPr>
                <w:rFonts w:hint="eastAsia" w:ascii="宋体" w:hAnsi="宋体" w:cs="宋体"/>
                <w:color w:val="auto"/>
                <w:szCs w:val="21"/>
              </w:rPr>
            </w:pPr>
          </w:p>
          <w:p w14:paraId="66B26C6A">
            <w:pPr>
              <w:rPr>
                <w:rFonts w:hint="eastAsia" w:ascii="宋体" w:hAnsi="宋体" w:cs="宋体"/>
                <w:color w:val="auto"/>
                <w:szCs w:val="21"/>
              </w:rPr>
            </w:pPr>
          </w:p>
          <w:p w14:paraId="762028C8">
            <w:pPr>
              <w:rPr>
                <w:rFonts w:hint="eastAsia" w:ascii="宋体" w:hAnsi="宋体" w:cs="宋体"/>
                <w:color w:val="auto"/>
                <w:szCs w:val="21"/>
              </w:rPr>
            </w:pPr>
          </w:p>
          <w:p w14:paraId="013C8BA5">
            <w:pPr>
              <w:rPr>
                <w:rFonts w:hint="eastAsia" w:ascii="宋体" w:hAnsi="宋体" w:cs="宋体"/>
                <w:color w:val="auto"/>
                <w:szCs w:val="21"/>
              </w:rPr>
            </w:pPr>
          </w:p>
          <w:p w14:paraId="038D8832">
            <w:pPr>
              <w:rPr>
                <w:rFonts w:hint="eastAsia" w:ascii="宋体" w:hAnsi="宋体" w:cs="宋体"/>
                <w:color w:val="auto"/>
                <w:szCs w:val="21"/>
              </w:rPr>
            </w:pPr>
          </w:p>
          <w:p w14:paraId="59F04472">
            <w:pPr>
              <w:rPr>
                <w:rFonts w:hint="eastAsia" w:ascii="宋体" w:hAnsi="宋体" w:cs="宋体"/>
                <w:color w:val="auto"/>
                <w:szCs w:val="21"/>
              </w:rPr>
            </w:pPr>
          </w:p>
          <w:p w14:paraId="5AC93740">
            <w:pPr>
              <w:rPr>
                <w:rFonts w:hint="eastAsia" w:ascii="宋体" w:hAnsi="宋体" w:cs="宋体"/>
                <w:color w:val="auto"/>
                <w:szCs w:val="21"/>
              </w:rPr>
            </w:pPr>
          </w:p>
          <w:p w14:paraId="782F8DD4">
            <w:pPr>
              <w:rPr>
                <w:rFonts w:hint="eastAsia" w:ascii="宋体" w:hAnsi="宋体" w:cs="宋体"/>
                <w:color w:val="auto"/>
                <w:szCs w:val="21"/>
              </w:rPr>
            </w:pPr>
          </w:p>
          <w:p w14:paraId="5D57C622">
            <w:pPr>
              <w:rPr>
                <w:rFonts w:hint="eastAsia" w:ascii="宋体" w:hAnsi="宋体" w:cs="宋体"/>
                <w:color w:val="auto"/>
                <w:szCs w:val="21"/>
              </w:rPr>
            </w:pPr>
          </w:p>
        </w:tc>
      </w:tr>
      <w:tr w14:paraId="08030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5" w:hRule="atLeast"/>
          <w:jc w:val="center"/>
        </w:trPr>
        <w:tc>
          <w:tcPr>
            <w:tcW w:w="866" w:type="dxa"/>
            <w:gridSpan w:val="2"/>
            <w:vMerge w:val="restart"/>
            <w:noWrap w:val="0"/>
            <w:vAlign w:val="center"/>
          </w:tcPr>
          <w:p w14:paraId="1D07E5FA">
            <w:pPr>
              <w:spacing w:line="360" w:lineRule="auto"/>
              <w:rPr>
                <w:rFonts w:hint="eastAsia" w:ascii="宋体" w:hAnsi="宋体" w:cs="宋体"/>
                <w:szCs w:val="21"/>
              </w:rPr>
            </w:pPr>
            <w:r>
              <w:rPr>
                <w:rFonts w:hint="eastAsia" w:ascii="宋体" w:hAnsi="宋体" w:cs="宋体"/>
                <w:szCs w:val="21"/>
              </w:rPr>
              <w:t>2.2.1（1）</w:t>
            </w:r>
          </w:p>
        </w:tc>
        <w:tc>
          <w:tcPr>
            <w:tcW w:w="867" w:type="dxa"/>
            <w:vMerge w:val="restart"/>
            <w:noWrap w:val="0"/>
            <w:vAlign w:val="center"/>
          </w:tcPr>
          <w:p w14:paraId="1205EB5A">
            <w:pPr>
              <w:spacing w:line="360" w:lineRule="auto"/>
              <w:jc w:val="center"/>
              <w:rPr>
                <w:rFonts w:hint="eastAsia" w:ascii="宋体" w:hAnsi="宋体" w:cs="宋体"/>
                <w:color w:val="auto"/>
                <w:szCs w:val="21"/>
              </w:rPr>
            </w:pPr>
            <w:r>
              <w:rPr>
                <w:rFonts w:hint="eastAsia" w:ascii="宋体" w:hAnsi="宋体" w:cs="宋体"/>
                <w:color w:val="auto"/>
                <w:szCs w:val="21"/>
              </w:rPr>
              <w:t>谈判报价得分F1</w:t>
            </w:r>
          </w:p>
          <w:p w14:paraId="0E577CC6">
            <w:pPr>
              <w:spacing w:line="360" w:lineRule="auto"/>
              <w:jc w:val="center"/>
              <w:rPr>
                <w:rFonts w:hint="eastAsia" w:ascii="宋体" w:hAnsi="宋体" w:cs="宋体"/>
                <w:color w:val="auto"/>
                <w:szCs w:val="21"/>
              </w:rPr>
            </w:pPr>
            <w:r>
              <w:rPr>
                <w:rFonts w:hint="eastAsia" w:ascii="宋体" w:hAnsi="宋体" w:cs="宋体"/>
                <w:color w:val="auto"/>
                <w:szCs w:val="21"/>
              </w:rPr>
              <w:t>评分标准</w:t>
            </w:r>
          </w:p>
          <w:p w14:paraId="58A9C6A2">
            <w:pPr>
              <w:spacing w:line="360" w:lineRule="auto"/>
              <w:jc w:val="center"/>
              <w:rPr>
                <w:rFonts w:hint="eastAsia" w:ascii="宋体" w:hAnsi="宋体" w:cs="宋体"/>
                <w:color w:val="auto"/>
                <w:szCs w:val="21"/>
              </w:rPr>
            </w:pPr>
            <w:r>
              <w:rPr>
                <w:rFonts w:hint="eastAsia" w:ascii="宋体" w:hAnsi="宋体" w:cs="宋体"/>
                <w:color w:val="auto"/>
                <w:szCs w:val="21"/>
              </w:rPr>
              <w:t>（满分</w:t>
            </w:r>
            <w:r>
              <w:rPr>
                <w:rFonts w:hint="eastAsia" w:ascii="宋体" w:hAnsi="宋体" w:cs="宋体"/>
                <w:color w:val="auto"/>
                <w:szCs w:val="21"/>
                <w:lang w:val="en-US" w:eastAsia="zh-CN"/>
              </w:rPr>
              <w:t>5</w:t>
            </w:r>
            <w:r>
              <w:rPr>
                <w:rFonts w:hint="eastAsia" w:ascii="宋体" w:hAnsi="宋体" w:cs="宋体"/>
                <w:color w:val="auto"/>
                <w:szCs w:val="21"/>
              </w:rPr>
              <w:t>0分）</w:t>
            </w:r>
          </w:p>
        </w:tc>
        <w:tc>
          <w:tcPr>
            <w:tcW w:w="1792" w:type="dxa"/>
            <w:vMerge w:val="restart"/>
            <w:noWrap w:val="0"/>
            <w:vAlign w:val="center"/>
          </w:tcPr>
          <w:p w14:paraId="1604FD59">
            <w:pPr>
              <w:spacing w:line="360" w:lineRule="auto"/>
              <w:jc w:val="center"/>
              <w:rPr>
                <w:rFonts w:hint="eastAsia" w:ascii="宋体" w:hAnsi="宋体" w:cs="宋体"/>
                <w:color w:val="auto"/>
                <w:szCs w:val="21"/>
              </w:rPr>
            </w:pPr>
            <w:r>
              <w:rPr>
                <w:rFonts w:hint="eastAsia" w:ascii="宋体" w:hAnsi="宋体" w:cs="宋体"/>
                <w:color w:val="auto"/>
                <w:szCs w:val="21"/>
              </w:rPr>
              <w:t>谈判报价评分及计算公式</w:t>
            </w:r>
          </w:p>
          <w:p w14:paraId="0D6D02AC">
            <w:pPr>
              <w:spacing w:line="360" w:lineRule="auto"/>
              <w:jc w:val="center"/>
              <w:rPr>
                <w:rFonts w:hint="eastAsia" w:ascii="宋体" w:hAnsi="宋体" w:cs="宋体"/>
                <w:color w:val="auto"/>
                <w:szCs w:val="21"/>
              </w:rPr>
            </w:pPr>
            <w:r>
              <w:rPr>
                <w:rFonts w:hint="eastAsia" w:ascii="宋体" w:hAnsi="宋体" w:cs="宋体"/>
                <w:color w:val="auto"/>
                <w:szCs w:val="21"/>
              </w:rPr>
              <w:t>（满分</w:t>
            </w:r>
            <w:r>
              <w:rPr>
                <w:rFonts w:hint="eastAsia" w:ascii="宋体" w:hAnsi="宋体" w:cs="宋体"/>
                <w:color w:val="auto"/>
                <w:szCs w:val="21"/>
                <w:lang w:val="en-US" w:eastAsia="zh-CN"/>
              </w:rPr>
              <w:t>5</w:t>
            </w:r>
            <w:r>
              <w:rPr>
                <w:rFonts w:hint="eastAsia" w:ascii="宋体" w:hAnsi="宋体" w:cs="宋体"/>
                <w:color w:val="auto"/>
                <w:szCs w:val="21"/>
              </w:rPr>
              <w:t>0分）</w:t>
            </w:r>
          </w:p>
        </w:tc>
        <w:tc>
          <w:tcPr>
            <w:tcW w:w="6213" w:type="dxa"/>
            <w:gridSpan w:val="2"/>
            <w:noWrap w:val="0"/>
            <w:vAlign w:val="center"/>
          </w:tcPr>
          <w:p w14:paraId="74BA9331">
            <w:pPr>
              <w:spacing w:line="360" w:lineRule="auto"/>
              <w:rPr>
                <w:rFonts w:hint="eastAsia" w:ascii="宋体" w:hAnsi="宋体" w:cs="宋体"/>
                <w:color w:val="auto"/>
                <w:szCs w:val="21"/>
              </w:rPr>
            </w:pPr>
            <w:r>
              <w:rPr>
                <w:rFonts w:hint="eastAsia" w:ascii="宋体" w:hAnsi="宋体" w:cs="宋体"/>
                <w:color w:val="auto"/>
                <w:szCs w:val="21"/>
              </w:rPr>
              <w:t>“有效谈判报价”是指通过实质性要求评审的</w:t>
            </w:r>
            <w:r>
              <w:rPr>
                <w:rFonts w:hint="eastAsia" w:ascii="宋体" w:hAnsi="宋体" w:cs="宋体"/>
                <w:color w:val="auto"/>
                <w:szCs w:val="21"/>
                <w:lang w:val="en-US" w:eastAsia="zh-CN"/>
              </w:rPr>
              <w:t>最终</w:t>
            </w:r>
            <w:r>
              <w:rPr>
                <w:rFonts w:hint="eastAsia" w:ascii="宋体" w:hAnsi="宋体" w:cs="宋体"/>
                <w:color w:val="auto"/>
                <w:szCs w:val="21"/>
              </w:rPr>
              <w:t>谈判报价，当有效谈判报价数大于5家（含5家）时，谈判基准价为去掉最高报价和最低报价后，其他有效谈判报价的算术平均值；当有效谈判报价数少于5家时，谈判基准价为有效谈判报价的算术平均值。</w:t>
            </w:r>
          </w:p>
          <w:p w14:paraId="249B55C2">
            <w:pPr>
              <w:spacing w:line="360" w:lineRule="auto"/>
              <w:rPr>
                <w:rFonts w:hint="eastAsia" w:ascii="宋体" w:hAnsi="宋体" w:cs="宋体"/>
                <w:color w:val="auto"/>
                <w:szCs w:val="21"/>
              </w:rPr>
            </w:pPr>
            <w:r>
              <w:rPr>
                <w:rFonts w:hint="eastAsia" w:ascii="宋体" w:hAnsi="宋体" w:cs="宋体"/>
                <w:color w:val="auto"/>
                <w:szCs w:val="21"/>
              </w:rPr>
              <w:t>公式一：（适用于当谈判报价个数n在n≥5范围时）</w:t>
            </w:r>
          </w:p>
          <w:p w14:paraId="445BDFDD">
            <w:pPr>
              <w:spacing w:line="360" w:lineRule="auto"/>
              <w:rPr>
                <w:rFonts w:hint="eastAsia" w:ascii="宋体" w:hAnsi="宋体" w:cs="宋体"/>
                <w:color w:val="auto"/>
                <w:szCs w:val="21"/>
              </w:rPr>
            </w:pPr>
            <w:r>
              <w:rPr>
                <w:rFonts w:hint="eastAsia" w:ascii="宋体" w:hAnsi="宋体" w:cs="宋体"/>
                <w:color w:val="auto"/>
                <w:szCs w:val="21"/>
              </w:rPr>
              <w:t>P=(t1＋t2＋…tn－2)÷(n－2)</w:t>
            </w:r>
          </w:p>
          <w:p w14:paraId="6B73E3BB">
            <w:pPr>
              <w:spacing w:line="360" w:lineRule="auto"/>
              <w:rPr>
                <w:rFonts w:hint="eastAsia" w:ascii="宋体" w:hAnsi="宋体" w:cs="宋体"/>
                <w:color w:val="auto"/>
                <w:szCs w:val="21"/>
              </w:rPr>
            </w:pPr>
            <w:r>
              <w:rPr>
                <w:rFonts w:hint="eastAsia" w:ascii="宋体" w:hAnsi="宋体" w:cs="宋体"/>
                <w:color w:val="auto"/>
                <w:szCs w:val="21"/>
              </w:rPr>
              <w:t>其中：t1、t2、…、tn－2指去掉一个最高值和一个最低值后的谈判报价；</w:t>
            </w:r>
          </w:p>
          <w:p w14:paraId="1E8D92DC">
            <w:pPr>
              <w:spacing w:line="360" w:lineRule="auto"/>
              <w:rPr>
                <w:rFonts w:hint="eastAsia" w:ascii="宋体" w:hAnsi="宋体" w:cs="宋体"/>
                <w:color w:val="auto"/>
                <w:szCs w:val="21"/>
              </w:rPr>
            </w:pPr>
            <w:r>
              <w:rPr>
                <w:rFonts w:hint="eastAsia" w:ascii="宋体" w:hAnsi="宋体" w:cs="宋体"/>
                <w:color w:val="auto"/>
                <w:szCs w:val="21"/>
              </w:rPr>
              <w:t>公式二：（适用于当谈判报价个数n在5 &gt;n范围时）</w:t>
            </w:r>
          </w:p>
          <w:p w14:paraId="59EB50F1">
            <w:pPr>
              <w:spacing w:line="360" w:lineRule="auto"/>
              <w:rPr>
                <w:rFonts w:hint="eastAsia" w:ascii="宋体" w:hAnsi="宋体" w:cs="宋体"/>
                <w:color w:val="auto"/>
                <w:szCs w:val="21"/>
              </w:rPr>
            </w:pPr>
            <w:r>
              <w:rPr>
                <w:rFonts w:hint="eastAsia" w:ascii="宋体" w:hAnsi="宋体" w:cs="宋体"/>
                <w:color w:val="auto"/>
                <w:szCs w:val="21"/>
              </w:rPr>
              <w:t>P=(t1＋t2＋…tn)÷n</w:t>
            </w:r>
          </w:p>
          <w:p w14:paraId="6CB6631E">
            <w:pPr>
              <w:spacing w:line="360" w:lineRule="auto"/>
              <w:rPr>
                <w:rFonts w:hint="eastAsia" w:ascii="宋体" w:hAnsi="宋体" w:cs="宋体"/>
                <w:color w:val="auto"/>
                <w:szCs w:val="21"/>
              </w:rPr>
            </w:pPr>
            <w:r>
              <w:rPr>
                <w:rFonts w:hint="eastAsia" w:ascii="宋体" w:hAnsi="宋体" w:cs="宋体"/>
                <w:color w:val="auto"/>
                <w:szCs w:val="21"/>
              </w:rPr>
              <w:t>其中：t1、t2、…、tn指谈判报价；</w:t>
            </w:r>
          </w:p>
          <w:p w14:paraId="47F60340">
            <w:pPr>
              <w:spacing w:line="360" w:lineRule="auto"/>
              <w:rPr>
                <w:rFonts w:hint="eastAsia" w:ascii="宋体" w:hAnsi="宋体" w:cs="宋体"/>
                <w:color w:val="auto"/>
                <w:szCs w:val="21"/>
              </w:rPr>
            </w:pPr>
            <w:r>
              <w:rPr>
                <w:rFonts w:hint="eastAsia" w:ascii="宋体" w:hAnsi="宋体" w:cs="宋体"/>
                <w:color w:val="auto"/>
                <w:szCs w:val="21"/>
              </w:rPr>
              <w:t>P：谈判基准价</w:t>
            </w:r>
          </w:p>
          <w:p w14:paraId="3DE253EA">
            <w:pPr>
              <w:spacing w:line="360" w:lineRule="auto"/>
              <w:rPr>
                <w:rFonts w:hint="eastAsia" w:ascii="宋体" w:hAnsi="宋体" w:cs="宋体"/>
                <w:color w:val="auto"/>
                <w:szCs w:val="21"/>
              </w:rPr>
            </w:pPr>
            <w:r>
              <w:rPr>
                <w:rFonts w:hint="eastAsia" w:ascii="宋体" w:hAnsi="宋体" w:cs="宋体"/>
                <w:color w:val="auto"/>
                <w:szCs w:val="21"/>
              </w:rPr>
              <w:t>n：有效谈判报价。</w:t>
            </w:r>
          </w:p>
          <w:p w14:paraId="3F1F3302">
            <w:pPr>
              <w:spacing w:line="360" w:lineRule="auto"/>
              <w:rPr>
                <w:rFonts w:hint="eastAsia" w:ascii="宋体" w:hAnsi="宋体" w:cs="宋体"/>
                <w:color w:val="auto"/>
                <w:szCs w:val="21"/>
              </w:rPr>
            </w:pPr>
            <w:r>
              <w:rPr>
                <w:rFonts w:hint="eastAsia" w:ascii="宋体" w:hAnsi="宋体" w:cs="宋体"/>
                <w:color w:val="auto"/>
                <w:szCs w:val="21"/>
              </w:rPr>
              <w:t>投标报价的偏差率K=（有效投标报价-评标基准价）/评标基准价</w:t>
            </w:r>
          </w:p>
          <w:p w14:paraId="64597622">
            <w:pPr>
              <w:spacing w:line="360" w:lineRule="auto"/>
              <w:rPr>
                <w:rFonts w:hint="eastAsia" w:ascii="宋体" w:hAnsi="宋体" w:cs="宋体"/>
                <w:color w:val="auto"/>
                <w:szCs w:val="21"/>
              </w:rPr>
            </w:pPr>
            <w:r>
              <w:rPr>
                <w:rFonts w:hint="eastAsia" w:ascii="宋体" w:hAnsi="宋体" w:cs="宋体"/>
                <w:color w:val="auto"/>
                <w:szCs w:val="21"/>
              </w:rPr>
              <w:t>投标报价的偏差率为正数时，有效投标报价高于评标基准价；</w:t>
            </w:r>
          </w:p>
          <w:p w14:paraId="48426C46">
            <w:pPr>
              <w:spacing w:line="360" w:lineRule="auto"/>
              <w:rPr>
                <w:rFonts w:hint="eastAsia" w:ascii="宋体" w:hAnsi="宋体" w:cs="宋体"/>
                <w:color w:val="auto"/>
                <w:szCs w:val="21"/>
              </w:rPr>
            </w:pPr>
            <w:r>
              <w:rPr>
                <w:rFonts w:hint="eastAsia" w:ascii="宋体" w:hAnsi="宋体" w:cs="宋体"/>
                <w:color w:val="auto"/>
                <w:szCs w:val="21"/>
              </w:rPr>
              <w:t>投标报价的偏差率为负数时，有效投标报价低于评标基准价。</w:t>
            </w:r>
          </w:p>
          <w:p w14:paraId="3A47CE65">
            <w:pPr>
              <w:spacing w:line="360" w:lineRule="auto"/>
              <w:rPr>
                <w:rFonts w:hint="eastAsia" w:ascii="宋体" w:hAnsi="宋体" w:cs="宋体"/>
                <w:color w:val="auto"/>
                <w:szCs w:val="21"/>
              </w:rPr>
            </w:pPr>
            <w:r>
              <w:rPr>
                <w:rFonts w:hint="eastAsia" w:ascii="宋体" w:hAnsi="宋体" w:cs="宋体"/>
                <w:color w:val="auto"/>
                <w:szCs w:val="21"/>
              </w:rPr>
              <w:t>注：所有有效报价，投标人所报的税率不一致时，评标价统一按照不含税的报价进行计算，评标价=投标总价(不含税)，所有有效报价投标人所报的税率一致时，评标价=投标总价(含税)。</w:t>
            </w:r>
          </w:p>
        </w:tc>
      </w:tr>
      <w:tr w14:paraId="411E6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0" w:hRule="atLeast"/>
          <w:jc w:val="center"/>
        </w:trPr>
        <w:tc>
          <w:tcPr>
            <w:tcW w:w="866" w:type="dxa"/>
            <w:gridSpan w:val="2"/>
            <w:vMerge w:val="continue"/>
            <w:noWrap w:val="0"/>
            <w:vAlign w:val="center"/>
          </w:tcPr>
          <w:p w14:paraId="26E96D3F">
            <w:pPr>
              <w:spacing w:line="360" w:lineRule="auto"/>
              <w:rPr>
                <w:rFonts w:hint="eastAsia" w:ascii="宋体" w:hAnsi="宋体" w:cs="宋体"/>
                <w:szCs w:val="21"/>
              </w:rPr>
            </w:pPr>
          </w:p>
        </w:tc>
        <w:tc>
          <w:tcPr>
            <w:tcW w:w="867" w:type="dxa"/>
            <w:vMerge w:val="continue"/>
            <w:noWrap w:val="0"/>
            <w:vAlign w:val="center"/>
          </w:tcPr>
          <w:p w14:paraId="15F08177">
            <w:pPr>
              <w:spacing w:line="360" w:lineRule="auto"/>
              <w:jc w:val="center"/>
              <w:rPr>
                <w:rFonts w:hint="eastAsia" w:ascii="宋体" w:hAnsi="宋体" w:cs="宋体"/>
                <w:color w:val="auto"/>
                <w:szCs w:val="21"/>
              </w:rPr>
            </w:pPr>
          </w:p>
        </w:tc>
        <w:tc>
          <w:tcPr>
            <w:tcW w:w="1792" w:type="dxa"/>
            <w:vMerge w:val="continue"/>
            <w:noWrap w:val="0"/>
            <w:vAlign w:val="center"/>
          </w:tcPr>
          <w:p w14:paraId="62A37055">
            <w:pPr>
              <w:spacing w:line="360" w:lineRule="auto"/>
              <w:jc w:val="center"/>
              <w:rPr>
                <w:rFonts w:hint="eastAsia" w:ascii="宋体" w:hAnsi="宋体" w:cs="宋体"/>
                <w:color w:val="auto"/>
                <w:szCs w:val="21"/>
              </w:rPr>
            </w:pPr>
          </w:p>
        </w:tc>
        <w:tc>
          <w:tcPr>
            <w:tcW w:w="6213" w:type="dxa"/>
            <w:gridSpan w:val="2"/>
            <w:noWrap w:val="0"/>
            <w:vAlign w:val="center"/>
          </w:tcPr>
          <w:p w14:paraId="09DCD126">
            <w:pPr>
              <w:spacing w:line="360" w:lineRule="auto"/>
              <w:rPr>
                <w:rFonts w:hint="eastAsia" w:ascii="宋体" w:hAnsi="宋体" w:cs="宋体"/>
                <w:color w:val="auto"/>
                <w:szCs w:val="21"/>
              </w:rPr>
            </w:pPr>
            <w:r>
              <w:rPr>
                <w:rFonts w:hint="eastAsia" w:ascii="宋体" w:hAnsi="宋体" w:cs="宋体"/>
                <w:color w:val="auto"/>
                <w:szCs w:val="21"/>
              </w:rPr>
              <w:t>浮动偏差率计算方式：</w:t>
            </w:r>
          </w:p>
          <w:p w14:paraId="13994BD7">
            <w:pPr>
              <w:spacing w:line="360" w:lineRule="auto"/>
              <w:rPr>
                <w:rFonts w:hint="eastAsia" w:ascii="宋体" w:hAnsi="宋体" w:cs="宋体"/>
                <w:color w:val="auto"/>
                <w:szCs w:val="21"/>
              </w:rPr>
            </w:pPr>
            <w:r>
              <w:rPr>
                <w:rFonts w:hint="eastAsia" w:ascii="宋体" w:hAnsi="宋体" w:cs="宋体"/>
                <w:color w:val="auto"/>
                <w:szCs w:val="21"/>
              </w:rPr>
              <w:t>谈判报价的偏差率K=（有效谈判报价-谈判基准价）/谈判基准价*100%</w:t>
            </w:r>
          </w:p>
          <w:p w14:paraId="3FA6EA73">
            <w:pPr>
              <w:spacing w:line="360" w:lineRule="auto"/>
              <w:rPr>
                <w:rFonts w:hint="eastAsia" w:ascii="宋体" w:hAnsi="宋体" w:cs="宋体"/>
                <w:color w:val="auto"/>
                <w:szCs w:val="21"/>
              </w:rPr>
            </w:pPr>
            <w:r>
              <w:rPr>
                <w:rFonts w:hint="eastAsia" w:ascii="宋体" w:hAnsi="宋体" w:cs="宋体"/>
                <w:color w:val="auto"/>
                <w:szCs w:val="21"/>
              </w:rPr>
              <w:t>浮动偏差率为正数即相比谈判基准价上浮，浮动偏差率为负数即相比谈判基准价下浮。</w:t>
            </w:r>
          </w:p>
          <w:p w14:paraId="2AEAD6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人的有效</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报价等于评标基准价的，得报价基本分</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人的有效</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报价与评标基准价相比，低于评标基准价10%（含10%）以内，在报价基本分的基础上，每低于评标基准价1%加</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分，最多得满分；低于评标基准价10%以外，从满分扣起，每超过1%扣</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最多扣5分</w:t>
            </w:r>
            <w:r>
              <w:rPr>
                <w:rFonts w:hint="eastAsia" w:ascii="宋体" w:hAnsi="宋体" w:eastAsia="宋体" w:cs="宋体"/>
                <w:color w:val="auto"/>
                <w:szCs w:val="21"/>
                <w:highlight w:val="none"/>
              </w:rPr>
              <w:t>；高于评标基准价时，从基本分起扣，每高于评标基准价1%扣1分，</w:t>
            </w:r>
            <w:r>
              <w:rPr>
                <w:rFonts w:hint="eastAsia" w:ascii="宋体" w:hAnsi="宋体" w:eastAsia="宋体" w:cs="宋体"/>
                <w:color w:val="auto"/>
                <w:szCs w:val="21"/>
                <w:highlight w:val="none"/>
                <w:lang w:val="en-US" w:eastAsia="zh-CN"/>
              </w:rPr>
              <w:t>扣完为止</w:t>
            </w:r>
            <w:r>
              <w:rPr>
                <w:rFonts w:hint="eastAsia" w:ascii="宋体" w:hAnsi="宋体" w:eastAsia="宋体" w:cs="宋体"/>
                <w:color w:val="auto"/>
                <w:szCs w:val="21"/>
                <w:highlight w:val="none"/>
              </w:rPr>
              <w:t>。按内插法计算。</w:t>
            </w:r>
          </w:p>
          <w:p w14:paraId="2236785C">
            <w:pPr>
              <w:spacing w:line="360" w:lineRule="auto"/>
              <w:rPr>
                <w:rFonts w:hint="eastAsia" w:ascii="宋体" w:hAnsi="宋体" w:cs="宋体"/>
                <w:color w:val="auto"/>
                <w:szCs w:val="21"/>
              </w:rPr>
            </w:pPr>
            <w:r>
              <w:rPr>
                <w:rFonts w:hint="eastAsia" w:ascii="宋体" w:hAnsi="宋体" w:eastAsia="宋体" w:cs="宋体"/>
                <w:color w:val="auto"/>
                <w:szCs w:val="21"/>
                <w:highlight w:val="none"/>
                <w:lang w:val="en-US" w:eastAsia="zh-CN"/>
              </w:rPr>
              <w:t>谈判报价税率不同时，将以不含税价格进行</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报价评分</w:t>
            </w:r>
            <w:r>
              <w:rPr>
                <w:rFonts w:hint="eastAsia" w:ascii="宋体" w:hAnsi="宋体" w:eastAsia="宋体" w:cs="宋体"/>
                <w:color w:val="auto"/>
                <w:szCs w:val="21"/>
                <w:highlight w:val="none"/>
                <w:lang w:eastAsia="zh-CN"/>
              </w:rPr>
              <w:t>。</w:t>
            </w:r>
          </w:p>
        </w:tc>
      </w:tr>
      <w:tr w14:paraId="49EC7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33" w:type="dxa"/>
            <w:gridSpan w:val="3"/>
            <w:noWrap w:val="0"/>
            <w:vAlign w:val="center"/>
          </w:tcPr>
          <w:p w14:paraId="303BB48C">
            <w:pPr>
              <w:spacing w:line="360" w:lineRule="auto"/>
              <w:jc w:val="center"/>
              <w:rPr>
                <w:rFonts w:hint="eastAsia" w:ascii="宋体" w:hAnsi="宋体" w:cs="宋体"/>
                <w:szCs w:val="21"/>
              </w:rPr>
            </w:pPr>
            <w:r>
              <w:rPr>
                <w:rFonts w:hint="eastAsia" w:ascii="宋体" w:hAnsi="宋体" w:cs="宋体"/>
                <w:b/>
                <w:szCs w:val="21"/>
              </w:rPr>
              <w:t>条款号</w:t>
            </w:r>
          </w:p>
        </w:tc>
        <w:tc>
          <w:tcPr>
            <w:tcW w:w="1792" w:type="dxa"/>
            <w:noWrap w:val="0"/>
            <w:vAlign w:val="center"/>
          </w:tcPr>
          <w:p w14:paraId="7EF9B5C1">
            <w:pPr>
              <w:spacing w:line="360" w:lineRule="auto"/>
              <w:jc w:val="center"/>
              <w:rPr>
                <w:rFonts w:hint="eastAsia" w:ascii="宋体" w:hAnsi="宋体" w:cs="宋体"/>
                <w:b/>
                <w:szCs w:val="21"/>
              </w:rPr>
            </w:pPr>
            <w:r>
              <w:rPr>
                <w:rFonts w:hint="eastAsia" w:ascii="宋体" w:hAnsi="宋体" w:cs="宋体"/>
                <w:b/>
                <w:szCs w:val="21"/>
              </w:rPr>
              <w:t>评分因素</w:t>
            </w:r>
          </w:p>
        </w:tc>
        <w:tc>
          <w:tcPr>
            <w:tcW w:w="6213" w:type="dxa"/>
            <w:gridSpan w:val="2"/>
            <w:noWrap w:val="0"/>
            <w:vAlign w:val="center"/>
          </w:tcPr>
          <w:p w14:paraId="19355B6E">
            <w:pPr>
              <w:spacing w:line="360" w:lineRule="auto"/>
              <w:jc w:val="center"/>
              <w:rPr>
                <w:rFonts w:hint="eastAsia" w:ascii="宋体" w:hAnsi="宋体" w:cs="宋体"/>
                <w:b/>
                <w:szCs w:val="21"/>
              </w:rPr>
            </w:pPr>
            <w:r>
              <w:rPr>
                <w:rFonts w:hint="eastAsia" w:ascii="宋体" w:hAnsi="宋体" w:cs="宋体"/>
                <w:b/>
                <w:szCs w:val="21"/>
              </w:rPr>
              <w:t>评分标准</w:t>
            </w:r>
          </w:p>
        </w:tc>
      </w:tr>
      <w:tr w14:paraId="38DA0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0" w:hRule="atLeast"/>
          <w:jc w:val="center"/>
        </w:trPr>
        <w:tc>
          <w:tcPr>
            <w:tcW w:w="860" w:type="dxa"/>
            <w:vMerge w:val="restart"/>
            <w:noWrap w:val="0"/>
            <w:vAlign w:val="center"/>
          </w:tcPr>
          <w:p w14:paraId="007EA1C3">
            <w:pPr>
              <w:spacing w:line="360" w:lineRule="auto"/>
              <w:jc w:val="center"/>
              <w:rPr>
                <w:rFonts w:hint="eastAsia" w:ascii="宋体" w:hAnsi="宋体" w:cs="宋体"/>
                <w:szCs w:val="21"/>
              </w:rPr>
            </w:pPr>
            <w:r>
              <w:rPr>
                <w:rFonts w:hint="eastAsia" w:ascii="宋体" w:hAnsi="宋体" w:cs="宋体"/>
                <w:szCs w:val="21"/>
              </w:rPr>
              <w:t>2.2.1（2）</w:t>
            </w:r>
          </w:p>
        </w:tc>
        <w:tc>
          <w:tcPr>
            <w:tcW w:w="873" w:type="dxa"/>
            <w:gridSpan w:val="2"/>
            <w:vMerge w:val="restart"/>
            <w:noWrap w:val="0"/>
            <w:vAlign w:val="center"/>
          </w:tcPr>
          <w:p w14:paraId="48FA51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技术部分</w:t>
            </w:r>
          </w:p>
          <w:p w14:paraId="0D4414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F2</w:t>
            </w:r>
          </w:p>
          <w:p w14:paraId="0A47EE4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评分标准</w:t>
            </w:r>
          </w:p>
          <w:p w14:paraId="5946176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0分）</w:t>
            </w:r>
          </w:p>
        </w:tc>
        <w:tc>
          <w:tcPr>
            <w:tcW w:w="1792" w:type="dxa"/>
            <w:noWrap w:val="0"/>
            <w:vAlign w:val="center"/>
          </w:tcPr>
          <w:p w14:paraId="7AC28AC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服务实施方案</w:t>
            </w:r>
          </w:p>
          <w:p w14:paraId="24C2BFA4">
            <w:pPr>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tc>
        <w:tc>
          <w:tcPr>
            <w:tcW w:w="6213" w:type="dxa"/>
            <w:gridSpan w:val="2"/>
            <w:noWrap w:val="0"/>
            <w:vAlign w:val="center"/>
          </w:tcPr>
          <w:p w14:paraId="2246797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服务方案总体布置统筹规划及实施是否科学、合理，根据情况评</w:t>
            </w:r>
            <w:r>
              <w:rPr>
                <w:rFonts w:hint="eastAsia" w:ascii="宋体" w:hAnsi="宋体" w:eastAsia="宋体" w:cs="宋体"/>
                <w:color w:val="auto"/>
                <w:szCs w:val="21"/>
                <w:highlight w:val="none"/>
              </w:rPr>
              <w:t>审</w:t>
            </w:r>
            <w:r>
              <w:rPr>
                <w:rFonts w:hint="eastAsia" w:ascii="宋体" w:hAnsi="宋体" w:eastAsia="宋体" w:cs="宋体"/>
                <w:color w:val="auto"/>
                <w:szCs w:val="21"/>
                <w:highlight w:val="none"/>
                <w:lang w:val="zh-CN"/>
              </w:rPr>
              <w:t>：</w:t>
            </w:r>
          </w:p>
          <w:p w14:paraId="1A63A162">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第一档次：项目质量、服务期限明确，对项目实施阶段划分、工作分解结构，人力资源的计划安排合理、可行，能保证项目目标实现的，得</w:t>
            </w:r>
            <w:r>
              <w:rPr>
                <w:rFonts w:hint="eastAsia" w:ascii="宋体" w:hAnsi="宋体" w:eastAsia="宋体" w:cs="宋体"/>
                <w:color w:val="auto"/>
                <w:szCs w:val="21"/>
                <w:highlight w:val="none"/>
                <w:lang w:val="en-US" w:eastAsia="zh-CN"/>
              </w:rPr>
              <w:t>14-20</w:t>
            </w:r>
            <w:r>
              <w:rPr>
                <w:rFonts w:hint="eastAsia" w:ascii="宋体" w:hAnsi="宋体" w:eastAsia="宋体" w:cs="宋体"/>
                <w:color w:val="auto"/>
                <w:szCs w:val="21"/>
                <w:highlight w:val="none"/>
                <w:lang w:val="zh-CN"/>
              </w:rPr>
              <w:t>分；</w:t>
            </w:r>
          </w:p>
          <w:p w14:paraId="46291E53">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第二档次：项目质量、服务期限基本明确，对项目实施阶段划分、工作分解结构，人力资源的计划安排基本合理、可行，能保证项目目标实现的，得</w:t>
            </w:r>
            <w:r>
              <w:rPr>
                <w:rFonts w:hint="eastAsia" w:ascii="宋体" w:hAnsi="宋体" w:eastAsia="宋体" w:cs="宋体"/>
                <w:color w:val="auto"/>
                <w:szCs w:val="21"/>
                <w:highlight w:val="none"/>
                <w:lang w:val="en-US" w:eastAsia="zh-CN"/>
              </w:rPr>
              <w:t>7-13</w:t>
            </w:r>
            <w:r>
              <w:rPr>
                <w:rFonts w:hint="eastAsia" w:ascii="宋体" w:hAnsi="宋体" w:eastAsia="宋体" w:cs="宋体"/>
                <w:color w:val="auto"/>
                <w:szCs w:val="21"/>
                <w:highlight w:val="none"/>
                <w:lang w:val="zh-CN"/>
              </w:rPr>
              <w:t>分；</w:t>
            </w:r>
          </w:p>
          <w:p w14:paraId="71970ACF">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第三档次：项目质量、服务期限基本明确，对项目实施阶段划分、工作分解结构，人力资源的计划安排较差，但能保证项目目标实现的，得1-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分。</w:t>
            </w:r>
          </w:p>
          <w:p w14:paraId="3679BAFA">
            <w:pPr>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lang w:val="zh-CN"/>
              </w:rPr>
              <w:t>无相关说明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不得分。</w:t>
            </w:r>
          </w:p>
        </w:tc>
      </w:tr>
      <w:tr w14:paraId="140B8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860" w:type="dxa"/>
            <w:vMerge w:val="continue"/>
            <w:noWrap w:val="0"/>
            <w:vAlign w:val="center"/>
          </w:tcPr>
          <w:p w14:paraId="343D30EB">
            <w:pPr>
              <w:spacing w:line="360" w:lineRule="auto"/>
              <w:jc w:val="center"/>
              <w:rPr>
                <w:rFonts w:hint="eastAsia" w:ascii="宋体" w:hAnsi="宋体" w:cs="宋体"/>
                <w:szCs w:val="21"/>
              </w:rPr>
            </w:pPr>
          </w:p>
        </w:tc>
        <w:tc>
          <w:tcPr>
            <w:tcW w:w="873" w:type="dxa"/>
            <w:gridSpan w:val="2"/>
            <w:vMerge w:val="continue"/>
            <w:noWrap w:val="0"/>
            <w:vAlign w:val="center"/>
          </w:tcPr>
          <w:p w14:paraId="6A9D9C17">
            <w:pPr>
              <w:spacing w:line="360" w:lineRule="auto"/>
              <w:jc w:val="center"/>
              <w:rPr>
                <w:rFonts w:hint="eastAsia" w:ascii="宋体" w:hAnsi="宋体" w:cs="宋体"/>
                <w:szCs w:val="21"/>
              </w:rPr>
            </w:pPr>
          </w:p>
        </w:tc>
        <w:tc>
          <w:tcPr>
            <w:tcW w:w="1792" w:type="dxa"/>
            <w:noWrap w:val="0"/>
            <w:vAlign w:val="center"/>
          </w:tcPr>
          <w:p w14:paraId="6883458E">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项目人员</w:t>
            </w:r>
          </w:p>
          <w:p w14:paraId="7E60EC36">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配置</w:t>
            </w:r>
          </w:p>
          <w:p w14:paraId="18C1E48A">
            <w:pPr>
              <w:spacing w:line="360" w:lineRule="auto"/>
              <w:jc w:val="center"/>
              <w:rPr>
                <w:rFonts w:hint="eastAsia" w:ascii="宋体" w:hAnsi="宋体" w:cs="宋体"/>
                <w:color w:val="auto"/>
                <w:szCs w:val="21"/>
              </w:rPr>
            </w:pPr>
            <w:r>
              <w:rPr>
                <w:rFonts w:hint="eastAsia" w:ascii="宋体" w:hAnsi="宋体" w:eastAsia="宋体" w:cs="宋体"/>
                <w:color w:val="auto"/>
                <w:szCs w:val="21"/>
                <w:highlight w:val="none"/>
                <w:lang w:val="zh-CN"/>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分）</w:t>
            </w:r>
          </w:p>
        </w:tc>
        <w:tc>
          <w:tcPr>
            <w:tcW w:w="6213" w:type="dxa"/>
            <w:gridSpan w:val="2"/>
            <w:noWrap w:val="0"/>
            <w:vAlign w:val="center"/>
          </w:tcPr>
          <w:p w14:paraId="32497037">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根据供应商拟派人员配置情况评审：</w:t>
            </w:r>
          </w:p>
          <w:p w14:paraId="4E6EC42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第一档次：项目人员配置合理，拟派人员数量满足项目人员要求。</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lang w:val="zh-CN"/>
              </w:rPr>
              <w:t>配有专职或兼职安全管理人员。提供</w:t>
            </w:r>
            <w:r>
              <w:rPr>
                <w:rFonts w:hint="eastAsia" w:ascii="宋体" w:hAnsi="宋体" w:eastAsia="宋体" w:cs="宋体"/>
                <w:color w:val="auto"/>
                <w:szCs w:val="21"/>
                <w:highlight w:val="none"/>
                <w:lang w:val="en-US" w:eastAsia="zh-CN"/>
              </w:rPr>
              <w:t>所有拟派人员</w:t>
            </w:r>
            <w:r>
              <w:rPr>
                <w:rFonts w:hint="eastAsia" w:ascii="宋体" w:hAnsi="宋体" w:eastAsia="宋体" w:cs="宋体"/>
                <w:color w:val="auto"/>
                <w:szCs w:val="21"/>
                <w:highlight w:val="none"/>
                <w:lang w:val="zh-CN"/>
              </w:rPr>
              <w:t>劳动合同，购买</w:t>
            </w:r>
            <w:r>
              <w:rPr>
                <w:rFonts w:hint="eastAsia" w:ascii="宋体" w:hAnsi="宋体" w:eastAsia="宋体" w:cs="宋体"/>
                <w:color w:val="auto"/>
                <w:szCs w:val="21"/>
                <w:highlight w:val="none"/>
                <w:lang w:val="en-US" w:eastAsia="zh-CN"/>
              </w:rPr>
              <w:t>了</w:t>
            </w:r>
            <w:r>
              <w:rPr>
                <w:rFonts w:hint="eastAsia" w:ascii="宋体" w:hAnsi="宋体" w:eastAsia="宋体" w:cs="宋体"/>
                <w:color w:val="auto"/>
                <w:szCs w:val="21"/>
                <w:highlight w:val="none"/>
                <w:lang w:val="zh-CN"/>
              </w:rPr>
              <w:t>工伤保险，且有拟派人员承诺书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lang w:val="zh-CN"/>
              </w:rPr>
              <w:t>分。</w:t>
            </w:r>
          </w:p>
          <w:p w14:paraId="2795FF9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第二档次：项目人员配置</w:t>
            </w:r>
            <w:r>
              <w:rPr>
                <w:rFonts w:hint="eastAsia" w:ascii="宋体" w:hAnsi="宋体" w:eastAsia="宋体" w:cs="宋体"/>
                <w:color w:val="auto"/>
                <w:szCs w:val="21"/>
                <w:highlight w:val="none"/>
                <w:lang w:val="en-US" w:eastAsia="zh-CN"/>
              </w:rPr>
              <w:t>针对性</w:t>
            </w:r>
            <w:r>
              <w:rPr>
                <w:rFonts w:hint="eastAsia" w:ascii="宋体" w:hAnsi="宋体" w:eastAsia="宋体" w:cs="宋体"/>
                <w:color w:val="auto"/>
                <w:szCs w:val="21"/>
                <w:highlight w:val="none"/>
                <w:lang w:val="zh-CN"/>
              </w:rPr>
              <w:t>一般，拟派人员数量满足项目人员要求。</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lang w:val="zh-CN"/>
              </w:rPr>
              <w:t>配有专职或兼职安全管理人员。提供</w:t>
            </w:r>
            <w:r>
              <w:rPr>
                <w:rFonts w:hint="eastAsia" w:ascii="宋体" w:hAnsi="宋体" w:eastAsia="宋体" w:cs="宋体"/>
                <w:color w:val="auto"/>
                <w:szCs w:val="21"/>
                <w:highlight w:val="none"/>
                <w:lang w:val="en-US" w:eastAsia="zh-CN"/>
              </w:rPr>
              <w:t>所有拟派人员</w:t>
            </w:r>
            <w:r>
              <w:rPr>
                <w:rFonts w:hint="eastAsia" w:ascii="宋体" w:hAnsi="宋体" w:eastAsia="宋体" w:cs="宋体"/>
                <w:color w:val="auto"/>
                <w:szCs w:val="21"/>
                <w:highlight w:val="none"/>
                <w:lang w:val="zh-CN"/>
              </w:rPr>
              <w:t>劳动合同，</w:t>
            </w:r>
            <w:r>
              <w:rPr>
                <w:rFonts w:hint="eastAsia" w:ascii="宋体" w:hAnsi="宋体" w:eastAsia="宋体" w:cs="宋体"/>
                <w:color w:val="auto"/>
                <w:szCs w:val="21"/>
                <w:highlight w:val="none"/>
                <w:lang w:val="en-US" w:eastAsia="zh-CN"/>
              </w:rPr>
              <w:t>未购买</w:t>
            </w:r>
            <w:r>
              <w:rPr>
                <w:rFonts w:hint="eastAsia" w:ascii="宋体" w:hAnsi="宋体" w:eastAsia="宋体" w:cs="宋体"/>
                <w:color w:val="auto"/>
                <w:szCs w:val="21"/>
                <w:highlight w:val="none"/>
                <w:lang w:val="zh-CN"/>
              </w:rPr>
              <w:t>工伤保险</w:t>
            </w:r>
            <w:r>
              <w:rPr>
                <w:rFonts w:hint="eastAsia" w:ascii="宋体" w:hAnsi="宋体" w:eastAsia="宋体" w:cs="宋体"/>
                <w:color w:val="auto"/>
                <w:szCs w:val="21"/>
                <w:highlight w:val="none"/>
                <w:lang w:val="en-US" w:eastAsia="zh-CN"/>
              </w:rPr>
              <w:t>但</w:t>
            </w:r>
            <w:r>
              <w:rPr>
                <w:rFonts w:hint="eastAsia" w:ascii="宋体" w:hAnsi="宋体" w:eastAsia="宋体" w:cs="宋体"/>
                <w:color w:val="auto"/>
                <w:szCs w:val="21"/>
                <w:highlight w:val="none"/>
                <w:lang w:val="zh-CN"/>
              </w:rPr>
              <w:t>购买</w:t>
            </w:r>
            <w:r>
              <w:rPr>
                <w:rFonts w:hint="eastAsia" w:ascii="宋体" w:hAnsi="宋体" w:eastAsia="宋体" w:cs="宋体"/>
                <w:color w:val="auto"/>
                <w:szCs w:val="21"/>
                <w:highlight w:val="none"/>
                <w:lang w:val="en-US" w:eastAsia="zh-CN"/>
              </w:rPr>
              <w:t>了</w:t>
            </w:r>
            <w:r>
              <w:rPr>
                <w:rFonts w:hint="eastAsia" w:ascii="宋体" w:hAnsi="宋体" w:eastAsia="宋体" w:cs="宋体"/>
                <w:color w:val="auto"/>
                <w:szCs w:val="21"/>
                <w:highlight w:val="none"/>
                <w:lang w:val="zh-CN"/>
              </w:rPr>
              <w:t>意外伤害险，且有拟派人员承诺书的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lang w:val="zh-CN"/>
              </w:rPr>
              <w:t>分；</w:t>
            </w:r>
          </w:p>
          <w:p w14:paraId="17800870">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第三档次：项目人员配置</w:t>
            </w:r>
            <w:r>
              <w:rPr>
                <w:rFonts w:hint="eastAsia" w:ascii="宋体" w:hAnsi="宋体" w:eastAsia="宋体" w:cs="宋体"/>
                <w:color w:val="auto"/>
                <w:szCs w:val="21"/>
                <w:highlight w:val="none"/>
                <w:lang w:val="en-US" w:eastAsia="zh-CN"/>
              </w:rPr>
              <w:t>针对性较差</w:t>
            </w:r>
            <w:r>
              <w:rPr>
                <w:rFonts w:hint="eastAsia" w:ascii="宋体" w:hAnsi="宋体" w:eastAsia="宋体" w:cs="宋体"/>
                <w:color w:val="auto"/>
                <w:szCs w:val="21"/>
                <w:highlight w:val="none"/>
                <w:lang w:val="zh-CN"/>
              </w:rPr>
              <w:t>，拟派人员数量</w:t>
            </w:r>
            <w:r>
              <w:rPr>
                <w:rFonts w:hint="eastAsia" w:ascii="宋体" w:hAnsi="宋体" w:eastAsia="宋体" w:cs="宋体"/>
                <w:color w:val="auto"/>
                <w:szCs w:val="21"/>
                <w:highlight w:val="none"/>
                <w:lang w:val="en-US" w:eastAsia="zh-CN"/>
              </w:rPr>
              <w:t>满足要求</w:t>
            </w:r>
            <w:r>
              <w:rPr>
                <w:rFonts w:hint="eastAsia" w:ascii="宋体" w:hAnsi="宋体" w:eastAsia="宋体" w:cs="宋体"/>
                <w:color w:val="auto"/>
                <w:szCs w:val="21"/>
                <w:highlight w:val="none"/>
                <w:lang w:val="zh-CN"/>
              </w:rPr>
              <w:t>。配有专职或兼职安全管理人员。提供了劳动合同，</w:t>
            </w:r>
            <w:r>
              <w:rPr>
                <w:rFonts w:hint="eastAsia" w:ascii="宋体" w:hAnsi="宋体" w:eastAsia="宋体" w:cs="宋体"/>
                <w:color w:val="auto"/>
                <w:szCs w:val="21"/>
                <w:highlight w:val="none"/>
                <w:lang w:val="en-US" w:eastAsia="zh-CN"/>
              </w:rPr>
              <w:t>未购买</w:t>
            </w:r>
            <w:r>
              <w:rPr>
                <w:rFonts w:hint="eastAsia" w:ascii="宋体" w:hAnsi="宋体" w:eastAsia="宋体" w:cs="宋体"/>
                <w:color w:val="auto"/>
                <w:szCs w:val="21"/>
                <w:highlight w:val="none"/>
                <w:lang w:val="zh-CN"/>
              </w:rPr>
              <w:t>工伤保险</w:t>
            </w:r>
            <w:r>
              <w:rPr>
                <w:rFonts w:hint="eastAsia" w:ascii="宋体" w:hAnsi="宋体" w:eastAsia="宋体" w:cs="宋体"/>
                <w:color w:val="auto"/>
                <w:szCs w:val="21"/>
                <w:highlight w:val="none"/>
                <w:lang w:val="en-US" w:eastAsia="zh-CN"/>
              </w:rPr>
              <w:t>但</w:t>
            </w:r>
            <w:r>
              <w:rPr>
                <w:rFonts w:hint="eastAsia" w:ascii="宋体" w:hAnsi="宋体" w:eastAsia="宋体" w:cs="宋体"/>
                <w:color w:val="auto"/>
                <w:szCs w:val="21"/>
                <w:highlight w:val="none"/>
                <w:lang w:val="zh-CN"/>
              </w:rPr>
              <w:t>购买</w:t>
            </w:r>
            <w:r>
              <w:rPr>
                <w:rFonts w:hint="eastAsia" w:ascii="宋体" w:hAnsi="宋体" w:eastAsia="宋体" w:cs="宋体"/>
                <w:color w:val="auto"/>
                <w:szCs w:val="21"/>
                <w:highlight w:val="none"/>
                <w:lang w:val="en-US" w:eastAsia="zh-CN"/>
              </w:rPr>
              <w:t>了</w:t>
            </w:r>
            <w:r>
              <w:rPr>
                <w:rFonts w:hint="eastAsia" w:ascii="宋体" w:hAnsi="宋体" w:eastAsia="宋体" w:cs="宋体"/>
                <w:color w:val="auto"/>
                <w:szCs w:val="21"/>
                <w:highlight w:val="none"/>
                <w:lang w:val="zh-CN"/>
              </w:rPr>
              <w:t>意外伤害险，且有拟派人员承诺书的，得1分；</w:t>
            </w:r>
          </w:p>
          <w:p w14:paraId="1862C560">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注：</w:t>
            </w:r>
            <w:r>
              <w:rPr>
                <w:rFonts w:hint="eastAsia" w:ascii="宋体" w:hAnsi="宋体" w:eastAsia="宋体" w:cs="宋体"/>
                <w:color w:val="auto"/>
                <w:szCs w:val="21"/>
                <w:highlight w:val="none"/>
                <w:lang w:val="en-US" w:eastAsia="zh-CN"/>
              </w:rPr>
              <w:t>1、人员配置未提供</w:t>
            </w:r>
            <w:r>
              <w:rPr>
                <w:rFonts w:hint="eastAsia" w:ascii="宋体" w:hAnsi="宋体" w:eastAsia="宋体" w:cs="宋体"/>
                <w:color w:val="auto"/>
                <w:szCs w:val="21"/>
                <w:highlight w:val="none"/>
                <w:lang w:val="zh-CN"/>
              </w:rPr>
              <w:t>劳动合同</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val="zh-CN"/>
              </w:rPr>
              <w:t>拟派人员承诺书</w:t>
            </w:r>
            <w:r>
              <w:rPr>
                <w:rFonts w:hint="eastAsia" w:ascii="宋体" w:hAnsi="宋体" w:eastAsia="宋体" w:cs="宋体"/>
                <w:color w:val="auto"/>
                <w:szCs w:val="21"/>
                <w:highlight w:val="none"/>
                <w:lang w:val="en-US" w:eastAsia="zh-CN"/>
              </w:rPr>
              <w:t>的，不得分。</w:t>
            </w:r>
          </w:p>
          <w:p w14:paraId="0F0C595A">
            <w:pPr>
              <w:spacing w:line="360" w:lineRule="auto"/>
              <w:rPr>
                <w:rFonts w:hint="eastAsia" w:ascii="宋体" w:hAnsi="宋体" w:cs="宋体"/>
                <w:color w:val="auto"/>
                <w:szCs w:val="21"/>
              </w:rPr>
            </w:pPr>
            <w:r>
              <w:rPr>
                <w:rFonts w:hint="eastAsia" w:ascii="宋体" w:hAnsi="宋体" w:eastAsia="宋体" w:cs="宋体"/>
                <w:color w:val="auto"/>
                <w:szCs w:val="21"/>
                <w:highlight w:val="none"/>
                <w:lang w:val="en-US" w:eastAsia="zh-CN"/>
              </w:rPr>
              <w:t>2、未提供</w:t>
            </w:r>
            <w:r>
              <w:rPr>
                <w:rFonts w:hint="eastAsia" w:ascii="宋体" w:hAnsi="宋体" w:eastAsia="宋体" w:cs="宋体"/>
                <w:color w:val="auto"/>
                <w:szCs w:val="21"/>
                <w:highlight w:val="none"/>
                <w:lang w:val="zh-CN"/>
              </w:rPr>
              <w:t>工伤保险或意外伤害险</w:t>
            </w:r>
            <w:r>
              <w:rPr>
                <w:rFonts w:hint="eastAsia" w:ascii="宋体" w:hAnsi="宋体" w:eastAsia="宋体" w:cs="宋体"/>
                <w:color w:val="auto"/>
                <w:szCs w:val="21"/>
                <w:highlight w:val="none"/>
                <w:lang w:val="en-US" w:eastAsia="zh-CN"/>
              </w:rPr>
              <w:t>的，不得分。</w:t>
            </w:r>
          </w:p>
        </w:tc>
      </w:tr>
      <w:tr w14:paraId="5687C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0" w:hRule="atLeast"/>
          <w:jc w:val="center"/>
        </w:trPr>
        <w:tc>
          <w:tcPr>
            <w:tcW w:w="860" w:type="dxa"/>
            <w:vMerge w:val="continue"/>
            <w:noWrap w:val="0"/>
            <w:vAlign w:val="center"/>
          </w:tcPr>
          <w:p w14:paraId="4DC262CA">
            <w:pPr>
              <w:spacing w:line="360" w:lineRule="auto"/>
              <w:jc w:val="center"/>
              <w:rPr>
                <w:rFonts w:hint="eastAsia" w:ascii="宋体" w:hAnsi="宋体" w:cs="宋体"/>
                <w:szCs w:val="21"/>
              </w:rPr>
            </w:pPr>
          </w:p>
        </w:tc>
        <w:tc>
          <w:tcPr>
            <w:tcW w:w="873" w:type="dxa"/>
            <w:gridSpan w:val="2"/>
            <w:vMerge w:val="continue"/>
            <w:noWrap w:val="0"/>
            <w:vAlign w:val="center"/>
          </w:tcPr>
          <w:p w14:paraId="51A1AF9A">
            <w:pPr>
              <w:spacing w:line="360" w:lineRule="auto"/>
              <w:jc w:val="center"/>
              <w:rPr>
                <w:rFonts w:hint="eastAsia" w:ascii="宋体" w:hAnsi="宋体" w:cs="宋体"/>
                <w:szCs w:val="21"/>
              </w:rPr>
            </w:pPr>
          </w:p>
        </w:tc>
        <w:tc>
          <w:tcPr>
            <w:tcW w:w="1792" w:type="dxa"/>
            <w:noWrap w:val="0"/>
            <w:vAlign w:val="center"/>
          </w:tcPr>
          <w:p w14:paraId="10241691">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投入项目工器具配置</w:t>
            </w:r>
          </w:p>
          <w:p w14:paraId="16446B34">
            <w:pPr>
              <w:spacing w:line="360" w:lineRule="auto"/>
              <w:jc w:val="center"/>
              <w:rPr>
                <w:rFonts w:hint="eastAsia" w:ascii="宋体" w:hAnsi="宋体" w:cs="宋体"/>
                <w:color w:val="auto"/>
                <w:szCs w:val="21"/>
              </w:rPr>
            </w:pPr>
            <w:r>
              <w:rPr>
                <w:rFonts w:hint="eastAsia" w:ascii="宋体" w:hAnsi="宋体" w:eastAsia="宋体" w:cs="宋体"/>
                <w:color w:val="auto"/>
                <w:szCs w:val="21"/>
                <w:highlight w:val="none"/>
                <w:lang w:val="zh-CN"/>
              </w:rPr>
              <w:t>（满分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213" w:type="dxa"/>
            <w:gridSpan w:val="2"/>
            <w:noWrap w:val="0"/>
            <w:vAlign w:val="center"/>
          </w:tcPr>
          <w:p w14:paraId="796F13B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根据供应商提供的项目所需工器具，包括铁铲、撬杠、铁锤、锄头、扫帚等其他工具等配置评审：</w:t>
            </w:r>
          </w:p>
          <w:p w14:paraId="3C1974AD">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第一档次：供应商提供的工器具针对项目实际配置且合理，能满足项目需要且有针对性的，得</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lang w:val="zh-CN"/>
              </w:rPr>
              <w:t>分；</w:t>
            </w:r>
          </w:p>
          <w:p w14:paraId="34E8C001">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第二档次：供应商提供的能满足项目需求的，但配置针对性一般的，得</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lang w:val="zh-CN"/>
              </w:rPr>
              <w:t>分；</w:t>
            </w:r>
          </w:p>
          <w:p w14:paraId="364EB25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第三档次：供应商提供的拟投入项目的工器具配置不合理，不能满足项目需要的，得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分。</w:t>
            </w:r>
          </w:p>
          <w:p w14:paraId="744D10C6">
            <w:pPr>
              <w:spacing w:line="360" w:lineRule="auto"/>
              <w:rPr>
                <w:color w:val="auto"/>
              </w:rPr>
            </w:pPr>
            <w:r>
              <w:rPr>
                <w:rFonts w:hint="eastAsia" w:ascii="宋体" w:hAnsi="宋体" w:eastAsia="宋体" w:cs="宋体"/>
                <w:color w:val="auto"/>
                <w:szCs w:val="21"/>
                <w:highlight w:val="none"/>
                <w:lang w:val="zh-CN"/>
              </w:rPr>
              <w:t>无相关说明的不得分。</w:t>
            </w:r>
          </w:p>
        </w:tc>
      </w:tr>
      <w:tr w14:paraId="5A1B4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860" w:type="dxa"/>
            <w:vMerge w:val="continue"/>
            <w:noWrap w:val="0"/>
            <w:vAlign w:val="center"/>
          </w:tcPr>
          <w:p w14:paraId="3239BAC0">
            <w:pPr>
              <w:spacing w:line="360" w:lineRule="auto"/>
              <w:jc w:val="center"/>
              <w:rPr>
                <w:rFonts w:hint="eastAsia" w:ascii="宋体" w:hAnsi="宋体" w:cs="宋体"/>
                <w:szCs w:val="21"/>
              </w:rPr>
            </w:pPr>
          </w:p>
        </w:tc>
        <w:tc>
          <w:tcPr>
            <w:tcW w:w="873" w:type="dxa"/>
            <w:gridSpan w:val="2"/>
            <w:vMerge w:val="continue"/>
            <w:noWrap w:val="0"/>
            <w:vAlign w:val="center"/>
          </w:tcPr>
          <w:p w14:paraId="140FA9C9">
            <w:pPr>
              <w:spacing w:line="360" w:lineRule="auto"/>
              <w:jc w:val="center"/>
              <w:rPr>
                <w:rFonts w:hint="eastAsia" w:ascii="宋体" w:hAnsi="宋体" w:cs="宋体"/>
                <w:szCs w:val="21"/>
              </w:rPr>
            </w:pPr>
          </w:p>
        </w:tc>
        <w:tc>
          <w:tcPr>
            <w:tcW w:w="1792" w:type="dxa"/>
            <w:noWrap w:val="0"/>
            <w:vAlign w:val="center"/>
          </w:tcPr>
          <w:p w14:paraId="5671A66B">
            <w:pPr>
              <w:spacing w:line="360" w:lineRule="auto"/>
              <w:jc w:val="center"/>
              <w:rPr>
                <w:rFonts w:hint="eastAsia" w:ascii="宋体" w:hAnsi="宋体" w:cs="宋体"/>
                <w:color w:val="auto"/>
                <w:szCs w:val="21"/>
              </w:rPr>
            </w:pPr>
            <w:r>
              <w:rPr>
                <w:rFonts w:hint="eastAsia" w:ascii="宋体" w:hAnsi="宋体" w:eastAsia="宋体" w:cs="宋体"/>
                <w:color w:val="auto"/>
                <w:szCs w:val="21"/>
                <w:highlight w:val="none"/>
                <w:lang w:val="zh-CN"/>
              </w:rPr>
              <w:t>质量承诺及保证措施（满分5分）</w:t>
            </w:r>
          </w:p>
        </w:tc>
        <w:tc>
          <w:tcPr>
            <w:tcW w:w="6213" w:type="dxa"/>
            <w:gridSpan w:val="2"/>
            <w:noWrap w:val="0"/>
            <w:vAlign w:val="center"/>
          </w:tcPr>
          <w:p w14:paraId="300463D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第一档次：质量、服务期限及服务承诺及保障措施完善具体，针对性强，有具体的违约责任、自惩机制、惩罚金额，相对较优的，得4-5分；</w:t>
            </w:r>
          </w:p>
          <w:p w14:paraId="3773B479">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第二档次：质量、服务期限及服务承诺及保障措施满足具体可行，有一定针对性，有相应违约责任、自惩机制、但无惩罚金额，相对一般的，得2-3分；</w:t>
            </w:r>
          </w:p>
          <w:p w14:paraId="3E7A910F">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第三档次：质量、服务期限及服务承诺、保障措施及违约责任基本满足需求，但缺乏针对性，相对较差的，得1分。</w:t>
            </w:r>
          </w:p>
          <w:p w14:paraId="58523FA1">
            <w:pPr>
              <w:spacing w:line="360" w:lineRule="auto"/>
              <w:rPr>
                <w:rFonts w:hint="eastAsia" w:ascii="宋体" w:hAnsi="宋体" w:cs="宋体"/>
                <w:color w:val="auto"/>
                <w:szCs w:val="21"/>
              </w:rPr>
            </w:pPr>
            <w:r>
              <w:rPr>
                <w:rFonts w:hint="eastAsia" w:ascii="宋体" w:hAnsi="宋体" w:eastAsia="宋体" w:cs="宋体"/>
                <w:color w:val="auto"/>
                <w:szCs w:val="21"/>
                <w:highlight w:val="none"/>
                <w:lang w:val="zh-CN"/>
              </w:rPr>
              <w:t>无相关说明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不得分。</w:t>
            </w:r>
          </w:p>
        </w:tc>
      </w:tr>
      <w:tr w14:paraId="2FC81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860" w:type="dxa"/>
            <w:vMerge w:val="continue"/>
            <w:noWrap w:val="0"/>
            <w:vAlign w:val="center"/>
          </w:tcPr>
          <w:p w14:paraId="58C59B02">
            <w:pPr>
              <w:spacing w:line="360" w:lineRule="auto"/>
              <w:jc w:val="center"/>
              <w:rPr>
                <w:rFonts w:hint="eastAsia" w:ascii="宋体" w:hAnsi="宋体" w:cs="宋体"/>
                <w:szCs w:val="21"/>
              </w:rPr>
            </w:pPr>
          </w:p>
        </w:tc>
        <w:tc>
          <w:tcPr>
            <w:tcW w:w="873" w:type="dxa"/>
            <w:gridSpan w:val="2"/>
            <w:vMerge w:val="continue"/>
            <w:noWrap w:val="0"/>
            <w:vAlign w:val="center"/>
          </w:tcPr>
          <w:p w14:paraId="38C2C6D1">
            <w:pPr>
              <w:spacing w:line="360" w:lineRule="auto"/>
              <w:jc w:val="center"/>
              <w:rPr>
                <w:rFonts w:hint="eastAsia" w:ascii="宋体" w:hAnsi="宋体" w:cs="宋体"/>
                <w:szCs w:val="21"/>
              </w:rPr>
            </w:pPr>
          </w:p>
        </w:tc>
        <w:tc>
          <w:tcPr>
            <w:tcW w:w="1792" w:type="dxa"/>
            <w:noWrap w:val="0"/>
            <w:vAlign w:val="center"/>
          </w:tcPr>
          <w:p w14:paraId="616F0779">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安全管理方案、安全承诺</w:t>
            </w:r>
            <w:r>
              <w:rPr>
                <w:rFonts w:hint="eastAsia" w:ascii="宋体" w:hAnsi="宋体" w:eastAsia="宋体" w:cs="宋体"/>
                <w:color w:val="auto"/>
                <w:szCs w:val="21"/>
                <w:highlight w:val="none"/>
                <w:lang w:val="zh-CN"/>
              </w:rPr>
              <w:t>及保证措施</w:t>
            </w:r>
          </w:p>
          <w:p w14:paraId="1F6F0CD8">
            <w:pPr>
              <w:spacing w:line="360" w:lineRule="auto"/>
              <w:jc w:val="center"/>
              <w:rPr>
                <w:rFonts w:hint="eastAsia" w:ascii="宋体" w:hAnsi="宋体" w:cs="宋体"/>
                <w:color w:val="auto"/>
                <w:kern w:val="0"/>
                <w:szCs w:val="21"/>
              </w:rPr>
            </w:pPr>
            <w:r>
              <w:rPr>
                <w:rFonts w:hint="eastAsia" w:ascii="宋体" w:hAnsi="宋体" w:eastAsia="宋体" w:cs="宋体"/>
                <w:color w:val="auto"/>
                <w:szCs w:val="21"/>
                <w:highlight w:val="none"/>
                <w:lang w:val="zh-CN"/>
              </w:rPr>
              <w:t>（满分</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p>
        </w:tc>
        <w:tc>
          <w:tcPr>
            <w:tcW w:w="6213" w:type="dxa"/>
            <w:gridSpan w:val="2"/>
            <w:noWrap w:val="0"/>
            <w:vAlign w:val="center"/>
          </w:tcPr>
          <w:p w14:paraId="052D4F51">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第一档次：</w:t>
            </w:r>
            <w:r>
              <w:rPr>
                <w:rFonts w:hint="eastAsia" w:ascii="宋体" w:hAnsi="宋体" w:eastAsia="宋体" w:cs="宋体"/>
                <w:color w:val="auto"/>
                <w:szCs w:val="21"/>
                <w:highlight w:val="none"/>
              </w:rPr>
              <w:t>安全管理方案</w:t>
            </w:r>
            <w:r>
              <w:rPr>
                <w:rFonts w:hint="eastAsia" w:ascii="宋体" w:hAnsi="宋体" w:eastAsia="宋体" w:cs="宋体"/>
                <w:color w:val="auto"/>
                <w:szCs w:val="21"/>
                <w:highlight w:val="none"/>
                <w:lang w:val="zh-CN"/>
              </w:rPr>
              <w:t>全面、合理、针对性较强，</w:t>
            </w:r>
            <w:r>
              <w:rPr>
                <w:rFonts w:hint="eastAsia" w:ascii="宋体" w:hAnsi="宋体" w:eastAsia="宋体" w:cs="宋体"/>
                <w:color w:val="auto"/>
                <w:szCs w:val="21"/>
                <w:highlight w:val="none"/>
              </w:rPr>
              <w:t>安全</w:t>
            </w:r>
            <w:r>
              <w:rPr>
                <w:rFonts w:hint="eastAsia" w:ascii="宋体" w:hAnsi="宋体" w:eastAsia="宋体" w:cs="宋体"/>
                <w:color w:val="auto"/>
                <w:szCs w:val="21"/>
                <w:highlight w:val="none"/>
                <w:lang w:val="zh-CN"/>
              </w:rPr>
              <w:t>承诺能满足采购文件要求，有具体的、可行的保证措施的得</w:t>
            </w:r>
            <w:r>
              <w:rPr>
                <w:rFonts w:hint="eastAsia" w:ascii="宋体" w:hAnsi="宋体" w:eastAsia="宋体" w:cs="宋体"/>
                <w:color w:val="auto"/>
                <w:szCs w:val="21"/>
                <w:highlight w:val="none"/>
              </w:rPr>
              <w:t>4-5</w:t>
            </w:r>
            <w:r>
              <w:rPr>
                <w:rFonts w:hint="eastAsia" w:ascii="宋体" w:hAnsi="宋体" w:eastAsia="宋体" w:cs="宋体"/>
                <w:color w:val="auto"/>
                <w:szCs w:val="21"/>
                <w:highlight w:val="none"/>
                <w:lang w:val="zh-CN"/>
              </w:rPr>
              <w:t>分；</w:t>
            </w:r>
          </w:p>
          <w:p w14:paraId="67F5FA9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w:t>
            </w: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zh-CN"/>
              </w:rPr>
              <w:t>档次：</w:t>
            </w:r>
            <w:r>
              <w:rPr>
                <w:rFonts w:hint="eastAsia" w:ascii="宋体" w:hAnsi="宋体" w:eastAsia="宋体" w:cs="宋体"/>
                <w:color w:val="auto"/>
                <w:szCs w:val="21"/>
                <w:highlight w:val="none"/>
              </w:rPr>
              <w:t>安全管理方案</w:t>
            </w:r>
            <w:r>
              <w:rPr>
                <w:rFonts w:hint="eastAsia" w:ascii="宋体" w:hAnsi="宋体" w:eastAsia="宋体" w:cs="宋体"/>
                <w:color w:val="auto"/>
                <w:szCs w:val="21"/>
                <w:highlight w:val="none"/>
                <w:lang w:val="zh-CN"/>
              </w:rPr>
              <w:t>全面、</w:t>
            </w:r>
            <w:r>
              <w:rPr>
                <w:rFonts w:hint="eastAsia" w:ascii="宋体" w:hAnsi="宋体" w:eastAsia="宋体" w:cs="宋体"/>
                <w:color w:val="auto"/>
                <w:szCs w:val="21"/>
                <w:highlight w:val="none"/>
              </w:rPr>
              <w:t>基本</w:t>
            </w:r>
            <w:r>
              <w:rPr>
                <w:rFonts w:hint="eastAsia" w:ascii="宋体" w:hAnsi="宋体" w:eastAsia="宋体" w:cs="宋体"/>
                <w:color w:val="auto"/>
                <w:szCs w:val="21"/>
                <w:highlight w:val="none"/>
                <w:lang w:val="zh-CN"/>
              </w:rPr>
              <w:t>合理、针对性一般，</w:t>
            </w:r>
            <w:r>
              <w:rPr>
                <w:rFonts w:hint="eastAsia" w:ascii="宋体" w:hAnsi="宋体" w:eastAsia="宋体" w:cs="宋体"/>
                <w:color w:val="auto"/>
                <w:szCs w:val="21"/>
                <w:highlight w:val="none"/>
              </w:rPr>
              <w:t>安全</w:t>
            </w:r>
            <w:r>
              <w:rPr>
                <w:rFonts w:hint="eastAsia" w:ascii="宋体" w:hAnsi="宋体" w:eastAsia="宋体" w:cs="宋体"/>
                <w:color w:val="auto"/>
                <w:szCs w:val="21"/>
                <w:highlight w:val="none"/>
                <w:lang w:val="zh-CN"/>
              </w:rPr>
              <w:t>承诺能满足采购文件要求，有保证措施，得</w:t>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zh-CN"/>
              </w:rPr>
              <w:t>分；</w:t>
            </w:r>
          </w:p>
          <w:p w14:paraId="0E561D99">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w:t>
            </w:r>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val="zh-CN"/>
              </w:rPr>
              <w:t>档次：</w:t>
            </w:r>
            <w:r>
              <w:rPr>
                <w:rFonts w:hint="eastAsia" w:ascii="宋体" w:hAnsi="宋体" w:eastAsia="宋体" w:cs="宋体"/>
                <w:color w:val="auto"/>
                <w:szCs w:val="21"/>
                <w:highlight w:val="none"/>
              </w:rPr>
              <w:t>安全管理方案</w:t>
            </w:r>
            <w:r>
              <w:rPr>
                <w:rFonts w:hint="eastAsia" w:ascii="宋体" w:hAnsi="宋体" w:eastAsia="宋体" w:cs="宋体"/>
                <w:color w:val="auto"/>
                <w:szCs w:val="21"/>
                <w:highlight w:val="none"/>
                <w:lang w:val="zh-CN"/>
              </w:rPr>
              <w:t>不全面、不够合理、针对性差，</w:t>
            </w:r>
            <w:r>
              <w:rPr>
                <w:rFonts w:hint="eastAsia" w:ascii="宋体" w:hAnsi="宋体" w:eastAsia="宋体" w:cs="宋体"/>
                <w:color w:val="auto"/>
                <w:szCs w:val="21"/>
                <w:highlight w:val="none"/>
              </w:rPr>
              <w:t>安全</w:t>
            </w:r>
            <w:r>
              <w:rPr>
                <w:rFonts w:hint="eastAsia" w:ascii="宋体" w:hAnsi="宋体" w:eastAsia="宋体" w:cs="宋体"/>
                <w:color w:val="auto"/>
                <w:szCs w:val="21"/>
                <w:highlight w:val="none"/>
                <w:lang w:val="zh-CN"/>
              </w:rPr>
              <w:t>承诺能满足采购文件要求，但无保证措施，得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21522DBA">
            <w:pPr>
              <w:spacing w:line="360" w:lineRule="auto"/>
              <w:rPr>
                <w:rFonts w:hint="eastAsia" w:ascii="宋体" w:hAnsi="宋体" w:cs="宋体"/>
                <w:color w:val="auto"/>
                <w:szCs w:val="21"/>
              </w:rPr>
            </w:pPr>
            <w:r>
              <w:rPr>
                <w:rFonts w:hint="eastAsia" w:ascii="宋体" w:hAnsi="宋体" w:eastAsia="宋体" w:cs="宋体"/>
                <w:color w:val="auto"/>
                <w:szCs w:val="21"/>
                <w:highlight w:val="none"/>
                <w:lang w:val="zh-CN"/>
              </w:rPr>
              <w:t>无相关说明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不得分。</w:t>
            </w:r>
          </w:p>
        </w:tc>
      </w:tr>
      <w:tr w14:paraId="31727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1733" w:type="dxa"/>
            <w:gridSpan w:val="3"/>
            <w:noWrap w:val="0"/>
            <w:vAlign w:val="center"/>
          </w:tcPr>
          <w:p w14:paraId="1AA52BDB">
            <w:pPr>
              <w:spacing w:line="360" w:lineRule="auto"/>
              <w:jc w:val="center"/>
              <w:rPr>
                <w:rFonts w:hint="eastAsia" w:ascii="宋体" w:hAnsi="宋体" w:cs="宋体"/>
                <w:b/>
                <w:szCs w:val="21"/>
              </w:rPr>
            </w:pPr>
            <w:r>
              <w:rPr>
                <w:rFonts w:hint="eastAsia" w:ascii="宋体" w:hAnsi="宋体" w:cs="宋体"/>
                <w:b/>
                <w:szCs w:val="21"/>
              </w:rPr>
              <w:t>条款号</w:t>
            </w:r>
          </w:p>
        </w:tc>
        <w:tc>
          <w:tcPr>
            <w:tcW w:w="1792" w:type="dxa"/>
            <w:noWrap w:val="0"/>
            <w:vAlign w:val="center"/>
          </w:tcPr>
          <w:p w14:paraId="6F06BB4D">
            <w:pPr>
              <w:spacing w:line="360" w:lineRule="auto"/>
              <w:jc w:val="center"/>
              <w:rPr>
                <w:rFonts w:hint="eastAsia" w:ascii="宋体" w:hAnsi="宋体" w:cs="宋体"/>
                <w:szCs w:val="21"/>
              </w:rPr>
            </w:pPr>
            <w:r>
              <w:rPr>
                <w:rFonts w:hint="eastAsia" w:ascii="宋体" w:hAnsi="宋体" w:cs="宋体"/>
                <w:b/>
                <w:szCs w:val="21"/>
              </w:rPr>
              <w:t>评分因素</w:t>
            </w:r>
          </w:p>
        </w:tc>
        <w:tc>
          <w:tcPr>
            <w:tcW w:w="6213" w:type="dxa"/>
            <w:gridSpan w:val="2"/>
            <w:noWrap w:val="0"/>
            <w:vAlign w:val="center"/>
          </w:tcPr>
          <w:p w14:paraId="74674856">
            <w:pPr>
              <w:spacing w:line="360" w:lineRule="auto"/>
              <w:jc w:val="center"/>
              <w:rPr>
                <w:rFonts w:hint="eastAsia" w:ascii="宋体" w:hAnsi="宋体" w:cs="宋体"/>
                <w:b/>
                <w:bCs/>
                <w:szCs w:val="21"/>
              </w:rPr>
            </w:pPr>
            <w:r>
              <w:rPr>
                <w:rFonts w:hint="eastAsia" w:ascii="宋体" w:hAnsi="宋体" w:cs="宋体"/>
                <w:b/>
                <w:bCs/>
                <w:szCs w:val="21"/>
              </w:rPr>
              <w:t>评分标准</w:t>
            </w:r>
          </w:p>
        </w:tc>
      </w:tr>
      <w:tr w14:paraId="1849B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454" w:hRule="atLeast"/>
          <w:jc w:val="center"/>
        </w:trPr>
        <w:tc>
          <w:tcPr>
            <w:tcW w:w="860" w:type="dxa"/>
            <w:vMerge w:val="restart"/>
            <w:noWrap w:val="0"/>
            <w:vAlign w:val="center"/>
          </w:tcPr>
          <w:p w14:paraId="1983B955">
            <w:pPr>
              <w:spacing w:line="360" w:lineRule="auto"/>
              <w:jc w:val="center"/>
              <w:rPr>
                <w:rFonts w:hint="eastAsia" w:ascii="宋体" w:hAnsi="宋体" w:cs="宋体"/>
                <w:szCs w:val="21"/>
              </w:rPr>
            </w:pPr>
            <w:r>
              <w:rPr>
                <w:rFonts w:hint="eastAsia" w:ascii="宋体" w:hAnsi="宋体" w:cs="宋体"/>
                <w:szCs w:val="21"/>
              </w:rPr>
              <w:t>2.2.1（3）</w:t>
            </w:r>
          </w:p>
        </w:tc>
        <w:tc>
          <w:tcPr>
            <w:tcW w:w="873" w:type="dxa"/>
            <w:gridSpan w:val="2"/>
            <w:vMerge w:val="restart"/>
            <w:noWrap w:val="0"/>
            <w:vAlign w:val="center"/>
          </w:tcPr>
          <w:p w14:paraId="3237CE5C">
            <w:pPr>
              <w:spacing w:line="360" w:lineRule="auto"/>
              <w:jc w:val="center"/>
              <w:rPr>
                <w:rFonts w:hint="eastAsia" w:ascii="宋体" w:hAnsi="宋体" w:cs="宋体"/>
                <w:szCs w:val="21"/>
              </w:rPr>
            </w:pPr>
            <w:r>
              <w:rPr>
                <w:rFonts w:hint="eastAsia" w:ascii="宋体" w:hAnsi="宋体" w:cs="宋体"/>
                <w:szCs w:val="21"/>
              </w:rPr>
              <w:t>商务部分</w:t>
            </w:r>
          </w:p>
          <w:p w14:paraId="7CF76EDD">
            <w:pPr>
              <w:spacing w:line="360" w:lineRule="auto"/>
              <w:jc w:val="center"/>
              <w:rPr>
                <w:rFonts w:hint="eastAsia" w:ascii="宋体" w:hAnsi="宋体" w:cs="宋体"/>
                <w:szCs w:val="21"/>
              </w:rPr>
            </w:pPr>
            <w:r>
              <w:rPr>
                <w:rFonts w:hint="eastAsia" w:ascii="宋体" w:hAnsi="宋体" w:cs="宋体"/>
                <w:szCs w:val="21"/>
              </w:rPr>
              <w:t>F3</w:t>
            </w:r>
          </w:p>
          <w:p w14:paraId="22EF6945">
            <w:pPr>
              <w:spacing w:line="360" w:lineRule="auto"/>
              <w:jc w:val="center"/>
              <w:rPr>
                <w:rFonts w:hint="eastAsia" w:ascii="宋体" w:hAnsi="宋体" w:cs="宋体"/>
                <w:szCs w:val="21"/>
              </w:rPr>
            </w:pPr>
            <w:r>
              <w:rPr>
                <w:rFonts w:hint="eastAsia" w:ascii="宋体" w:hAnsi="宋体" w:cs="宋体"/>
                <w:szCs w:val="21"/>
              </w:rPr>
              <w:t>评分标准（满分10分）</w:t>
            </w:r>
          </w:p>
        </w:tc>
        <w:tc>
          <w:tcPr>
            <w:tcW w:w="1792" w:type="dxa"/>
            <w:noWrap w:val="0"/>
            <w:vAlign w:val="center"/>
          </w:tcPr>
          <w:p w14:paraId="630A15F4">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类似业绩</w:t>
            </w:r>
          </w:p>
          <w:p w14:paraId="7D572443">
            <w:pPr>
              <w:spacing w:line="360" w:lineRule="auto"/>
              <w:jc w:val="center"/>
              <w:rPr>
                <w:rFonts w:hint="eastAsia" w:ascii="宋体" w:hAnsi="宋体" w:cs="宋体"/>
                <w:color w:val="auto"/>
                <w:szCs w:val="21"/>
              </w:rPr>
            </w:pPr>
            <w:r>
              <w:rPr>
                <w:rFonts w:hint="eastAsia" w:ascii="宋体" w:hAnsi="宋体" w:eastAsia="宋体" w:cs="宋体"/>
                <w:color w:val="auto"/>
                <w:szCs w:val="21"/>
                <w:highlight w:val="none"/>
                <w:lang w:val="zh-CN"/>
              </w:rPr>
              <w:t>（满分10分）</w:t>
            </w:r>
          </w:p>
        </w:tc>
        <w:tc>
          <w:tcPr>
            <w:tcW w:w="6207" w:type="dxa"/>
            <w:noWrap w:val="0"/>
            <w:vAlign w:val="center"/>
          </w:tcPr>
          <w:p w14:paraId="00BFE436">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近年（</w:t>
            </w:r>
            <w:r>
              <w:rPr>
                <w:rFonts w:hint="eastAsia" w:ascii="宋体" w:hAnsi="宋体" w:eastAsia="宋体" w:cs="宋体"/>
                <w:color w:val="auto"/>
                <w:szCs w:val="21"/>
                <w:highlight w:val="none"/>
                <w:lang w:eastAsia="zh-CN"/>
              </w:rPr>
              <w:t>2023年1月1日</w:t>
            </w:r>
            <w:r>
              <w:rPr>
                <w:rFonts w:hint="eastAsia" w:ascii="宋体" w:hAnsi="宋体" w:eastAsia="宋体" w:cs="宋体"/>
                <w:color w:val="auto"/>
                <w:szCs w:val="21"/>
                <w:highlight w:val="none"/>
              </w:rPr>
              <w:t>至今）承担过</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类似业绩，类似业绩是指</w:t>
            </w:r>
            <w:r>
              <w:rPr>
                <w:rFonts w:hint="eastAsia" w:ascii="宋体" w:hAnsi="宋体" w:eastAsia="宋体" w:cs="宋体"/>
                <w:color w:val="auto"/>
                <w:szCs w:val="21"/>
                <w:highlight w:val="none"/>
                <w:lang w:val="en-US" w:eastAsia="zh-CN"/>
              </w:rPr>
              <w:t>生产型企业相关</w:t>
            </w:r>
            <w:r>
              <w:rPr>
                <w:rFonts w:hint="eastAsia" w:ascii="宋体" w:hAnsi="宋体" w:eastAsia="宋体" w:cs="宋体"/>
                <w:color w:val="auto"/>
                <w:szCs w:val="21"/>
                <w:highlight w:val="none"/>
              </w:rPr>
              <w:t>劳务</w:t>
            </w:r>
            <w:r>
              <w:rPr>
                <w:rFonts w:hint="eastAsia" w:ascii="宋体" w:hAnsi="宋体" w:eastAsia="宋体" w:cs="宋体"/>
                <w:color w:val="auto"/>
                <w:szCs w:val="21"/>
                <w:highlight w:val="none"/>
                <w:lang w:val="en-US" w:eastAsia="zh-CN"/>
              </w:rPr>
              <w:t>承包业绩</w:t>
            </w:r>
            <w:r>
              <w:rPr>
                <w:rFonts w:hint="eastAsia" w:ascii="宋体" w:hAnsi="宋体" w:eastAsia="宋体" w:cs="宋体"/>
                <w:color w:val="auto"/>
                <w:szCs w:val="21"/>
                <w:highlight w:val="none"/>
              </w:rPr>
              <w:t>，需提供业绩证明材料（业绩证明材料是指中标通知书或合同协议书）</w:t>
            </w:r>
            <w:r>
              <w:rPr>
                <w:rFonts w:hint="eastAsia" w:ascii="宋体" w:hAnsi="宋体" w:eastAsia="宋体" w:cs="宋体"/>
                <w:color w:val="auto"/>
                <w:szCs w:val="21"/>
                <w:highlight w:val="none"/>
                <w:lang w:eastAsia="zh-CN"/>
              </w:rPr>
              <w:t>。</w:t>
            </w:r>
          </w:p>
          <w:p w14:paraId="081F8E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除资格</w:t>
            </w:r>
            <w:r>
              <w:rPr>
                <w:rFonts w:hint="eastAsia" w:ascii="宋体" w:hAnsi="宋体" w:eastAsia="宋体" w:cs="宋体"/>
                <w:color w:val="auto"/>
                <w:szCs w:val="21"/>
                <w:highlight w:val="none"/>
                <w:lang w:val="en-US" w:eastAsia="zh-CN"/>
              </w:rPr>
              <w:t>条件</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的数量（1个）</w:t>
            </w:r>
            <w:r>
              <w:rPr>
                <w:rFonts w:hint="eastAsia" w:ascii="宋体" w:hAnsi="宋体" w:eastAsia="宋体" w:cs="宋体"/>
                <w:color w:val="auto"/>
                <w:szCs w:val="21"/>
                <w:highlight w:val="none"/>
              </w:rPr>
              <w:t>外，每提供1个类似业绩加2分，最高</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p w14:paraId="17C71A19">
            <w:pPr>
              <w:spacing w:line="360" w:lineRule="auto"/>
              <w:rPr>
                <w:rFonts w:hint="eastAsia" w:ascii="宋体" w:hAnsi="宋体" w:eastAsia="宋体" w:cs="宋体"/>
                <w:color w:val="auto"/>
                <w:szCs w:val="21"/>
                <w:highlight w:val="none"/>
              </w:rPr>
            </w:pPr>
          </w:p>
          <w:p w14:paraId="3A32DC1F">
            <w:pPr>
              <w:spacing w:line="360" w:lineRule="auto"/>
              <w:rPr>
                <w:rFonts w:hint="eastAsia" w:ascii="宋体" w:hAnsi="宋体" w:cs="宋体"/>
                <w:color w:val="auto"/>
                <w:szCs w:val="21"/>
              </w:rPr>
            </w:pPr>
            <w:r>
              <w:rPr>
                <w:rFonts w:hint="eastAsia" w:ascii="宋体" w:hAnsi="宋体" w:eastAsia="宋体" w:cs="宋体"/>
                <w:color w:val="auto"/>
                <w:szCs w:val="21"/>
                <w:highlight w:val="none"/>
              </w:rPr>
              <w:t>注：业绩时间以合同签订时间为准，业绩证明材料须提供合同协议书或中标通知书。</w:t>
            </w:r>
          </w:p>
        </w:tc>
      </w:tr>
      <w:tr w14:paraId="39AA9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454" w:hRule="atLeast"/>
          <w:jc w:val="center"/>
        </w:trPr>
        <w:tc>
          <w:tcPr>
            <w:tcW w:w="860" w:type="dxa"/>
            <w:vMerge w:val="continue"/>
            <w:noWrap w:val="0"/>
            <w:vAlign w:val="center"/>
          </w:tcPr>
          <w:p w14:paraId="74AF1BC3">
            <w:pPr>
              <w:spacing w:line="360" w:lineRule="auto"/>
              <w:rPr>
                <w:rFonts w:hint="eastAsia" w:ascii="宋体" w:hAnsi="宋体" w:cs="宋体"/>
                <w:szCs w:val="21"/>
              </w:rPr>
            </w:pPr>
          </w:p>
        </w:tc>
        <w:tc>
          <w:tcPr>
            <w:tcW w:w="873" w:type="dxa"/>
            <w:gridSpan w:val="2"/>
            <w:vMerge w:val="continue"/>
            <w:noWrap w:val="0"/>
            <w:vAlign w:val="center"/>
          </w:tcPr>
          <w:p w14:paraId="64AA6B5B">
            <w:pPr>
              <w:spacing w:line="360" w:lineRule="auto"/>
              <w:rPr>
                <w:rFonts w:hint="eastAsia" w:ascii="宋体" w:hAnsi="宋体" w:cs="宋体"/>
                <w:szCs w:val="21"/>
              </w:rPr>
            </w:pPr>
          </w:p>
        </w:tc>
        <w:tc>
          <w:tcPr>
            <w:tcW w:w="7999" w:type="dxa"/>
            <w:gridSpan w:val="2"/>
            <w:noWrap w:val="0"/>
            <w:vAlign w:val="center"/>
          </w:tcPr>
          <w:p w14:paraId="7B260949">
            <w:pPr>
              <w:spacing w:line="360" w:lineRule="auto"/>
              <w:rPr>
                <w:rFonts w:hint="eastAsia" w:ascii="宋体" w:hAnsi="宋体" w:cs="宋体"/>
                <w:b/>
                <w:szCs w:val="21"/>
              </w:rPr>
            </w:pPr>
            <w:r>
              <w:rPr>
                <w:rFonts w:hint="eastAsia" w:ascii="宋体" w:hAnsi="宋体" w:cs="宋体"/>
                <w:b/>
                <w:szCs w:val="21"/>
              </w:rPr>
              <w:t>备注：根据进入详细评审的供应商的谈判响应文件，对评分因素的响应情况进行横向比较，分档打分，多个供应商响应情况基本一致时，可以按同一档次打分。</w:t>
            </w:r>
          </w:p>
        </w:tc>
      </w:tr>
    </w:tbl>
    <w:p w14:paraId="4A0FDC69">
      <w:pPr>
        <w:tabs>
          <w:tab w:val="left" w:pos="1634"/>
          <w:tab w:val="left" w:pos="3373"/>
        </w:tabs>
        <w:spacing w:line="360" w:lineRule="auto"/>
        <w:jc w:val="right"/>
        <w:rPr>
          <w:rFonts w:hint="eastAsia" w:ascii="宋体" w:hAnsi="宋体" w:cs="宋体"/>
          <w:szCs w:val="21"/>
        </w:rPr>
      </w:pPr>
      <w:r>
        <w:rPr>
          <w:rFonts w:hint="eastAsia" w:ascii="宋体" w:hAnsi="宋体" w:cs="宋体"/>
          <w:szCs w:val="21"/>
        </w:rPr>
        <w:br w:type="page"/>
      </w:r>
    </w:p>
    <w:p w14:paraId="23D9E95B">
      <w:pPr>
        <w:pStyle w:val="3"/>
        <w:tabs>
          <w:tab w:val="left" w:pos="900"/>
          <w:tab w:val="left" w:pos="1588"/>
        </w:tabs>
        <w:spacing w:before="0"/>
        <w:rPr>
          <w:rFonts w:hint="eastAsia" w:ascii="宋体" w:hAnsi="宋体" w:cs="宋体"/>
          <w:sz w:val="21"/>
          <w:szCs w:val="21"/>
        </w:rPr>
      </w:pPr>
      <w:bookmarkStart w:id="553" w:name="_Toc3787"/>
      <w:bookmarkStart w:id="554" w:name="_Toc26205"/>
      <w:bookmarkStart w:id="555" w:name="_Toc9109"/>
      <w:r>
        <w:rPr>
          <w:rFonts w:hint="eastAsia" w:ascii="宋体" w:hAnsi="宋体" w:cs="宋体"/>
          <w:sz w:val="21"/>
          <w:szCs w:val="21"/>
        </w:rPr>
        <w:t>谈判方法正文</w:t>
      </w:r>
      <w:bookmarkEnd w:id="553"/>
      <w:bookmarkEnd w:id="554"/>
      <w:bookmarkEnd w:id="555"/>
    </w:p>
    <w:p w14:paraId="02FFB3EC">
      <w:pPr>
        <w:pStyle w:val="4"/>
        <w:tabs>
          <w:tab w:val="left" w:pos="900"/>
        </w:tabs>
        <w:spacing w:before="0"/>
        <w:ind w:firstLine="0" w:firstLineChars="0"/>
        <w:rPr>
          <w:rFonts w:hint="eastAsia" w:hAnsi="宋体" w:cs="宋体"/>
          <w:b w:val="0"/>
          <w:sz w:val="21"/>
          <w:szCs w:val="21"/>
        </w:rPr>
      </w:pPr>
      <w:r>
        <w:rPr>
          <w:rFonts w:hint="eastAsia" w:hAnsi="宋体" w:cs="宋体"/>
          <w:sz w:val="21"/>
          <w:szCs w:val="21"/>
        </w:rPr>
        <w:t>1.评审方法</w:t>
      </w:r>
    </w:p>
    <w:p w14:paraId="5E586439">
      <w:pPr>
        <w:spacing w:line="360" w:lineRule="auto"/>
        <w:ind w:firstLine="420"/>
        <w:rPr>
          <w:rFonts w:hint="eastAsia" w:ascii="宋体" w:hAnsi="宋体" w:cs="宋体"/>
          <w:szCs w:val="21"/>
        </w:rPr>
      </w:pPr>
      <w:r>
        <w:rPr>
          <w:rFonts w:hint="eastAsia" w:ascii="宋体" w:hAnsi="宋体" w:cs="宋体"/>
          <w:b/>
          <w:szCs w:val="21"/>
        </w:rPr>
        <w:t>本次评审采用综合评估法</w:t>
      </w:r>
      <w:r>
        <w:rPr>
          <w:rFonts w:hint="eastAsia" w:ascii="宋体" w:hAnsi="宋体" w:cs="宋体"/>
          <w:szCs w:val="21"/>
        </w:rPr>
        <w:t>。谈判小组对满足竞争性谈判文件实质性要求评审的谈判响应文件，按照本章前附表规定的评分标准进行打分，并按下列评审总得分计算公式计算评审总得分，按总得分由高到低的顺序推荐成交候选人排序；评审总得分相等时，按谈判报价由低到高顺序排序；评审总得分相等且谈判报价相同时，按技术部分得分由高到低顺序排序，技术部分得分也相同时，由评审小组综合推荐。</w:t>
      </w:r>
    </w:p>
    <w:p w14:paraId="57A44601">
      <w:pPr>
        <w:pStyle w:val="4"/>
        <w:tabs>
          <w:tab w:val="left" w:pos="900"/>
        </w:tabs>
        <w:spacing w:before="0"/>
        <w:ind w:firstLine="0" w:firstLineChars="0"/>
        <w:rPr>
          <w:rFonts w:hint="eastAsia" w:hAnsi="宋体" w:cs="宋体"/>
          <w:sz w:val="21"/>
          <w:szCs w:val="21"/>
        </w:rPr>
      </w:pPr>
      <w:r>
        <w:rPr>
          <w:rFonts w:hint="eastAsia" w:hAnsi="宋体" w:cs="宋体"/>
          <w:sz w:val="21"/>
          <w:szCs w:val="21"/>
        </w:rPr>
        <w:t>2. 评审标准</w:t>
      </w:r>
    </w:p>
    <w:p w14:paraId="5FEDA697">
      <w:pPr>
        <w:tabs>
          <w:tab w:val="left" w:pos="900"/>
          <w:tab w:val="left" w:pos="1588"/>
        </w:tabs>
        <w:spacing w:line="360" w:lineRule="auto"/>
        <w:rPr>
          <w:rFonts w:hint="eastAsia" w:ascii="宋体" w:hAnsi="宋体" w:cs="宋体"/>
          <w:szCs w:val="21"/>
        </w:rPr>
      </w:pPr>
      <w:r>
        <w:rPr>
          <w:rFonts w:hint="eastAsia" w:ascii="宋体" w:hAnsi="宋体" w:cs="宋体"/>
          <w:szCs w:val="21"/>
        </w:rPr>
        <w:t>2.1实质性要求评审</w:t>
      </w:r>
    </w:p>
    <w:p w14:paraId="12AAB810">
      <w:pPr>
        <w:spacing w:line="360" w:lineRule="auto"/>
        <w:rPr>
          <w:rFonts w:hint="eastAsia" w:ascii="宋体" w:hAnsi="宋体" w:cs="宋体"/>
          <w:szCs w:val="21"/>
        </w:rPr>
      </w:pPr>
      <w:r>
        <w:rPr>
          <w:rFonts w:hint="eastAsia" w:ascii="宋体" w:hAnsi="宋体" w:cs="宋体"/>
          <w:szCs w:val="21"/>
        </w:rPr>
        <w:t>2.1.1资格评审标准：依据法律法规和竞争性谈判文件的规定，对谈判响应文件中的资格证明文件、谈判保证金等进行审查，见谈判方法前附表。</w:t>
      </w:r>
    </w:p>
    <w:p w14:paraId="3C7A263A">
      <w:pPr>
        <w:pStyle w:val="24"/>
        <w:tabs>
          <w:tab w:val="left" w:pos="2472"/>
        </w:tabs>
        <w:spacing w:line="360" w:lineRule="auto"/>
        <w:rPr>
          <w:rFonts w:hint="eastAsia" w:hAnsi="宋体" w:cs="宋体"/>
          <w:sz w:val="21"/>
          <w:szCs w:val="21"/>
        </w:rPr>
      </w:pPr>
      <w:r>
        <w:rPr>
          <w:rFonts w:hint="eastAsia" w:hAnsi="宋体" w:cs="宋体"/>
          <w:sz w:val="21"/>
          <w:szCs w:val="21"/>
        </w:rPr>
        <w:t>2.1.2符合性评审标准：依据竞争性谈判文件的规定，从谈判响应文件的有效性、完整性和对竞争性谈判文件的响应程度进行审查，见谈判方法前附表。</w:t>
      </w:r>
    </w:p>
    <w:p w14:paraId="18E2C322">
      <w:pPr>
        <w:tabs>
          <w:tab w:val="left" w:pos="900"/>
          <w:tab w:val="left" w:pos="1588"/>
        </w:tabs>
        <w:spacing w:line="360" w:lineRule="auto"/>
        <w:rPr>
          <w:rFonts w:hint="eastAsia" w:ascii="宋体" w:hAnsi="宋体" w:cs="宋体"/>
          <w:szCs w:val="21"/>
        </w:rPr>
      </w:pPr>
      <w:bookmarkStart w:id="556" w:name="_Toc321836408"/>
      <w:r>
        <w:rPr>
          <w:rFonts w:hint="eastAsia" w:ascii="宋体" w:hAnsi="宋体" w:cs="宋体"/>
          <w:szCs w:val="21"/>
        </w:rPr>
        <w:t>2.2 分值构成与评分标准</w:t>
      </w:r>
      <w:bookmarkEnd w:id="556"/>
    </w:p>
    <w:p w14:paraId="56FC066E">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2.2.1 分值构成</w:t>
      </w:r>
    </w:p>
    <w:p w14:paraId="14852624">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（1）谈判报价：见谈判方法前附表；</w:t>
      </w:r>
    </w:p>
    <w:p w14:paraId="0565BDB9">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（2）技术部分：见谈判方法前附表；</w:t>
      </w:r>
    </w:p>
    <w:p w14:paraId="018B5720">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（3）商务部分：见谈判方法前附表。</w:t>
      </w:r>
    </w:p>
    <w:p w14:paraId="7C84AE08">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2.2.2 评分标准</w:t>
      </w:r>
    </w:p>
    <w:p w14:paraId="44FC813D">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按竞争性谈判文件中规定的谈判方法和标准，对资格评审和符合性评审合格的谈判响应文件进行商务和技术评估，综合比较与评价。</w:t>
      </w:r>
    </w:p>
    <w:p w14:paraId="448A0B05">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（2）技术部分评分标准：见谈判方法前附表；</w:t>
      </w:r>
    </w:p>
    <w:p w14:paraId="15978B26">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（2）商务部分评分标准：见谈判方法前附表；</w:t>
      </w:r>
    </w:p>
    <w:p w14:paraId="5056495A">
      <w:pPr>
        <w:pStyle w:val="24"/>
        <w:tabs>
          <w:tab w:val="left" w:pos="2472"/>
        </w:tabs>
        <w:spacing w:line="360" w:lineRule="auto"/>
        <w:ind w:firstLine="367" w:firstLineChars="175"/>
        <w:rPr>
          <w:rFonts w:hint="eastAsia"/>
        </w:rPr>
      </w:pPr>
      <w:r>
        <w:rPr>
          <w:rFonts w:hint="eastAsia" w:hAnsi="宋体" w:cs="宋体"/>
          <w:sz w:val="21"/>
          <w:szCs w:val="21"/>
        </w:rPr>
        <w:t>（3）谈判报价评分标准：见谈判方法前附表。</w:t>
      </w:r>
    </w:p>
    <w:p w14:paraId="480C85BB">
      <w:pPr>
        <w:pStyle w:val="4"/>
        <w:tabs>
          <w:tab w:val="left" w:pos="900"/>
        </w:tabs>
        <w:spacing w:before="0"/>
        <w:ind w:firstLine="0" w:firstLineChars="0"/>
        <w:rPr>
          <w:rFonts w:hint="eastAsia" w:hAnsi="宋体" w:cs="宋体"/>
          <w:sz w:val="21"/>
          <w:szCs w:val="21"/>
        </w:rPr>
      </w:pPr>
      <w:bookmarkStart w:id="557" w:name="_Toc321836409"/>
      <w:r>
        <w:rPr>
          <w:rFonts w:hint="eastAsia" w:hAnsi="宋体" w:cs="宋体"/>
          <w:sz w:val="21"/>
          <w:szCs w:val="21"/>
        </w:rPr>
        <w:t>3. 谈判程序</w:t>
      </w:r>
      <w:bookmarkEnd w:id="557"/>
    </w:p>
    <w:p w14:paraId="2AEC1FBC">
      <w:pPr>
        <w:tabs>
          <w:tab w:val="left" w:pos="900"/>
          <w:tab w:val="left" w:pos="1588"/>
        </w:tabs>
        <w:spacing w:line="360" w:lineRule="auto"/>
        <w:rPr>
          <w:rFonts w:hint="eastAsia" w:ascii="宋体" w:hAnsi="宋体" w:cs="宋体"/>
          <w:szCs w:val="21"/>
        </w:rPr>
      </w:pPr>
      <w:bookmarkStart w:id="558" w:name="_Toc321836410"/>
      <w:r>
        <w:rPr>
          <w:rFonts w:hint="eastAsia" w:ascii="宋体" w:hAnsi="宋体" w:cs="宋体"/>
          <w:szCs w:val="21"/>
        </w:rPr>
        <w:t xml:space="preserve">3.1 </w:t>
      </w:r>
      <w:bookmarkEnd w:id="558"/>
      <w:r>
        <w:rPr>
          <w:rFonts w:hint="eastAsia" w:ascii="宋体" w:hAnsi="宋体" w:cs="宋体"/>
          <w:szCs w:val="21"/>
        </w:rPr>
        <w:t>实质性要求评审</w:t>
      </w:r>
    </w:p>
    <w:p w14:paraId="35CC866C">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3.1.1 谈判小组依据本章第2.1.1项、第2.1.2项规定的标准对谈判响应文件进行实质性要求评审。除谈判文件中标注★条款评审标准外，谈判响应文件如不符合实质性要求的其他评审标准，可在谈判过程中以书面承诺或澄清的方式在规定的时间内进行再次响应，若经再次响应后，能符合评审标准的，视为实质性响应竞争性谈判文件要求，若再次响应后，不符合评审标准的，视为未实质性响应竞争性谈判文件要求。</w:t>
      </w:r>
    </w:p>
    <w:p w14:paraId="45CD84A4">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3.1.2谈判响应文件如果出现计算或表达上的错误，修正错误的原则如下：</w:t>
      </w:r>
    </w:p>
    <w:p w14:paraId="4D4B2168">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（1）谈判响应文件的大写金额和小写金额不一致的，以大写金额为准；</w:t>
      </w:r>
    </w:p>
    <w:p w14:paraId="6E2A8896">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（2）总价金额与按单价汇总金额不一致的，以单价金额计算结果为准；</w:t>
      </w:r>
    </w:p>
    <w:p w14:paraId="5739B658">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（3）单价金额小数点有明显错位的，应以总价为准，并修改单价；</w:t>
      </w:r>
    </w:p>
    <w:p w14:paraId="10195619">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（4）对不同文字文本谈判响应文件的解释发生异议的，以中文文本为准。</w:t>
      </w:r>
    </w:p>
    <w:p w14:paraId="4ADD0BBE">
      <w:pPr>
        <w:pStyle w:val="24"/>
        <w:tabs>
          <w:tab w:val="left" w:pos="2472"/>
        </w:tabs>
        <w:spacing w:line="360" w:lineRule="auto"/>
        <w:ind w:firstLine="420" w:firstLineChars="200"/>
        <w:rPr>
          <w:rFonts w:hint="eastAsia" w:hAnsi="宋体" w:cs="宋体"/>
          <w:sz w:val="21"/>
          <w:szCs w:val="21"/>
        </w:rPr>
      </w:pPr>
      <w:r>
        <w:rPr>
          <w:rFonts w:hint="eastAsia" w:hAnsi="宋体" w:cs="宋体"/>
          <w:sz w:val="21"/>
          <w:szCs w:val="21"/>
        </w:rPr>
        <w:t>（5）按上述修正错误的原则及方法调整或修正谈判响应文件的谈判报价，供应商同意后，调整后的谈判报价对供应商起约束作用。如果供应商不接受修正后的报价，视为未实质性响应竞争性谈判文件要求。</w:t>
      </w:r>
    </w:p>
    <w:p w14:paraId="4E57D2C5">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3.1.3供应商有以下情形之一的，其响应作否决响应处理：</w:t>
      </w:r>
    </w:p>
    <w:p w14:paraId="0D61B8CC">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（1）串通参与竞争性谈判或弄虚作假或有其他违法行为的；</w:t>
      </w:r>
    </w:p>
    <w:p w14:paraId="278E9189">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（2）不按谈判小组要求澄清、说明或补正的。</w:t>
      </w:r>
    </w:p>
    <w:p w14:paraId="3CB87E2F">
      <w:pPr>
        <w:pStyle w:val="24"/>
        <w:tabs>
          <w:tab w:val="left" w:pos="2472"/>
        </w:tabs>
        <w:spacing w:line="360" w:lineRule="auto"/>
        <w:ind w:firstLine="367" w:firstLineChars="175"/>
        <w:rPr>
          <w:rFonts w:hint="eastAsia" w:hAnsi="宋体" w:cs="宋体"/>
          <w:b/>
          <w:bCs/>
          <w:sz w:val="21"/>
          <w:szCs w:val="21"/>
        </w:rPr>
      </w:pPr>
      <w:r>
        <w:rPr>
          <w:rFonts w:hint="eastAsia" w:hAnsi="宋体" w:cs="宋体"/>
          <w:sz w:val="21"/>
          <w:szCs w:val="21"/>
        </w:rPr>
        <w:t>3.1.4对未通过</w:t>
      </w:r>
      <w:r>
        <w:rPr>
          <w:rFonts w:hint="eastAsia" w:hAnsi="宋体" w:cs="宋体"/>
          <w:szCs w:val="21"/>
        </w:rPr>
        <w:t>实质性要求评审</w:t>
      </w:r>
      <w:r>
        <w:rPr>
          <w:rFonts w:hint="eastAsia" w:hAnsi="宋体" w:cs="宋体"/>
          <w:sz w:val="21"/>
          <w:szCs w:val="21"/>
        </w:rPr>
        <w:t>的供应商谈判小组应通过相关的决议或在谈判报告中说明情况。</w:t>
      </w:r>
      <w:r>
        <w:rPr>
          <w:rFonts w:hint="eastAsia" w:hAnsi="宋体" w:cs="宋体"/>
          <w:b/>
          <w:bCs/>
          <w:sz w:val="21"/>
          <w:szCs w:val="21"/>
        </w:rPr>
        <w:t>当有效谈判响应文件只有2家时，谈判小组认为仍能满足竞争性谈判文件要求，则由谈判小组根据谈判响应文件响应情况对供应商做出综合评议推荐。如响应文件不满足谈判文件要求，谈判小组也可以否决全部供应商，所有供应商被否决后，采购人应当依法重新采购。</w:t>
      </w:r>
    </w:p>
    <w:p w14:paraId="62D9C504">
      <w:pPr>
        <w:tabs>
          <w:tab w:val="left" w:pos="900"/>
          <w:tab w:val="left" w:pos="1588"/>
        </w:tabs>
        <w:spacing w:line="360" w:lineRule="auto"/>
        <w:rPr>
          <w:rFonts w:hint="eastAsia" w:ascii="宋体" w:hAnsi="宋体" w:cs="宋体"/>
          <w:szCs w:val="21"/>
        </w:rPr>
      </w:pPr>
      <w:bookmarkStart w:id="559" w:name="_Toc321836411"/>
      <w:r>
        <w:rPr>
          <w:rFonts w:hint="eastAsia" w:ascii="宋体" w:hAnsi="宋体" w:cs="宋体"/>
          <w:szCs w:val="21"/>
        </w:rPr>
        <w:t>3.2 详细评审</w:t>
      </w:r>
      <w:bookmarkEnd w:id="559"/>
    </w:p>
    <w:p w14:paraId="12875FDF">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3.2.1 谈判小组按本章第2款规定的量化因素和分值进行打分，并计算出供应商的谈判总得分。对供应商的价格分等客观评分项的评分应当一致，对其他需要借助专业知识评判的主观评分项，应当严格按照评分细则公正评分。</w:t>
      </w:r>
    </w:p>
    <w:p w14:paraId="5A25FF83">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（1）按本章前附表的规定对谈判报价计算出得分F1；</w:t>
      </w:r>
    </w:p>
    <w:p w14:paraId="6816A7AD">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（2）按本章前附表的规定对技术部分评分，得分F2；</w:t>
      </w:r>
    </w:p>
    <w:p w14:paraId="3F883A3C">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（3）按本章前附表的规定对商务部分评分，得分F3；</w:t>
      </w:r>
    </w:p>
    <w:p w14:paraId="6BF9B414">
      <w:pPr>
        <w:pStyle w:val="24"/>
        <w:tabs>
          <w:tab w:val="left" w:pos="2472"/>
        </w:tabs>
        <w:spacing w:line="360" w:lineRule="auto"/>
        <w:ind w:firstLine="367" w:firstLineChars="175"/>
        <w:rPr>
          <w:rFonts w:hint="eastAsia" w:hAnsi="宋体" w:cs="宋体"/>
          <w:sz w:val="21"/>
          <w:szCs w:val="21"/>
        </w:rPr>
      </w:pPr>
      <w:r>
        <w:rPr>
          <w:rFonts w:hint="eastAsia" w:hAnsi="宋体" w:cs="宋体"/>
          <w:sz w:val="21"/>
          <w:szCs w:val="21"/>
        </w:rPr>
        <w:t>（4）按本章前附表的规定计算谈判总得分。</w:t>
      </w:r>
    </w:p>
    <w:p w14:paraId="45826A3A">
      <w:pPr>
        <w:spacing w:line="360" w:lineRule="auto"/>
        <w:ind w:firstLine="367" w:firstLineChars="175"/>
        <w:rPr>
          <w:rFonts w:hint="eastAsia" w:ascii="宋体" w:hAnsi="宋体" w:cs="宋体"/>
          <w:szCs w:val="21"/>
        </w:rPr>
      </w:pPr>
      <w:r>
        <w:rPr>
          <w:rFonts w:hint="eastAsia" w:ascii="宋体" w:hAnsi="宋体" w:cs="宋体"/>
          <w:szCs w:val="21"/>
        </w:rPr>
        <w:t>3.2.2技术部分（F2）和商务部分（F3）得分由谈判小组成员独立评分，</w:t>
      </w:r>
      <w:r>
        <w:rPr>
          <w:rFonts w:hint="eastAsia" w:ascii="宋体" w:hAnsi="宋体" w:cs="宋体"/>
          <w:bCs/>
          <w:szCs w:val="21"/>
        </w:rPr>
        <w:t>供应商各项评分因素得分为该项因素各评委评分的算术平均值（保留小数点后两位）</w:t>
      </w:r>
      <w:r>
        <w:rPr>
          <w:rFonts w:hint="eastAsia" w:ascii="宋体" w:hAnsi="宋体" w:cs="宋体"/>
          <w:szCs w:val="21"/>
        </w:rPr>
        <w:t>，小数点后第三位“四舍五入”。</w:t>
      </w:r>
    </w:p>
    <w:p w14:paraId="53615A6A">
      <w:pPr>
        <w:spacing w:line="360" w:lineRule="auto"/>
        <w:ind w:firstLine="367" w:firstLineChars="175"/>
        <w:rPr>
          <w:rFonts w:hint="eastAsia" w:ascii="宋体" w:hAnsi="宋体" w:cs="宋体"/>
          <w:szCs w:val="21"/>
        </w:rPr>
      </w:pPr>
      <w:r>
        <w:rPr>
          <w:rFonts w:hint="eastAsia" w:ascii="宋体" w:hAnsi="宋体" w:cs="宋体"/>
          <w:szCs w:val="21"/>
        </w:rPr>
        <w:t>3.2.3谈判小组成员要依法独立评审，并对评审意见承担个人责任。谈判小组成员对需要共同认定的事项存在争议的，按照少数服从多数的原则做出结论。持不同意见的谈判小组成员应当在谈判报告上签署不同意见并说明理由，否则视为同意。</w:t>
      </w:r>
    </w:p>
    <w:p w14:paraId="282A8782">
      <w:pPr>
        <w:tabs>
          <w:tab w:val="left" w:pos="900"/>
          <w:tab w:val="left" w:pos="1588"/>
        </w:tabs>
        <w:spacing w:line="360" w:lineRule="auto"/>
        <w:rPr>
          <w:rFonts w:hint="eastAsia" w:ascii="宋体" w:hAnsi="宋体" w:cs="宋体"/>
          <w:szCs w:val="21"/>
        </w:rPr>
      </w:pPr>
      <w:bookmarkStart w:id="560" w:name="_Toc321836412"/>
      <w:r>
        <w:rPr>
          <w:rFonts w:hint="eastAsia" w:ascii="宋体" w:hAnsi="宋体" w:cs="宋体"/>
          <w:szCs w:val="21"/>
        </w:rPr>
        <w:t>3.3 谈判响应文件的澄清</w:t>
      </w:r>
      <w:bookmarkEnd w:id="560"/>
      <w:r>
        <w:rPr>
          <w:rFonts w:hint="eastAsia" w:ascii="宋体" w:hAnsi="宋体" w:cs="宋体"/>
          <w:szCs w:val="21"/>
        </w:rPr>
        <w:t xml:space="preserve"> </w:t>
      </w:r>
    </w:p>
    <w:p w14:paraId="09B4515E">
      <w:pPr>
        <w:spacing w:line="360" w:lineRule="auto"/>
        <w:ind w:firstLine="367" w:firstLineChars="175"/>
        <w:rPr>
          <w:rFonts w:hint="eastAsia" w:ascii="宋体" w:hAnsi="宋体" w:cs="宋体"/>
          <w:szCs w:val="21"/>
        </w:rPr>
      </w:pPr>
      <w:r>
        <w:rPr>
          <w:rFonts w:hint="eastAsia" w:ascii="宋体" w:hAnsi="宋体" w:cs="宋体"/>
          <w:szCs w:val="21"/>
        </w:rPr>
        <w:t>3.3.1 在谈判过程中，谈判小组可以书面形式（应当由谈判小组专家签字）要求供应商对所提交的谈判响应文件中含义不明确、同类问题表述不一致或者有明显文字和计算错误的内容，进行书面澄清或说明。谈判小组不接受供应商主动提出的澄清、说明。</w:t>
      </w:r>
    </w:p>
    <w:p w14:paraId="0E2668AD">
      <w:pPr>
        <w:spacing w:line="360" w:lineRule="auto"/>
        <w:ind w:firstLine="367" w:firstLineChars="175"/>
        <w:rPr>
          <w:rFonts w:hint="eastAsia" w:ascii="宋体" w:hAnsi="宋体" w:cs="宋体"/>
          <w:szCs w:val="21"/>
        </w:rPr>
      </w:pPr>
      <w:r>
        <w:rPr>
          <w:rFonts w:hint="eastAsia" w:ascii="宋体" w:hAnsi="宋体" w:cs="宋体"/>
          <w:szCs w:val="21"/>
        </w:rPr>
        <w:t>3.3.2 供应商的澄清、说明应当采用书面形式，由法定代表人或其授权的代表签字，澄清事项不得超出谈判响应文件的范围并不得改变谈判响应文件的实质性内容（算术性错误修正的除外）。供应商的书面澄清、说明属于谈判响应文件的组成部分。</w:t>
      </w:r>
    </w:p>
    <w:p w14:paraId="55096393">
      <w:pPr>
        <w:spacing w:line="360" w:lineRule="auto"/>
        <w:ind w:firstLine="367" w:firstLineChars="175"/>
        <w:rPr>
          <w:rFonts w:hint="eastAsia" w:ascii="宋体" w:hAnsi="宋体" w:cs="宋体"/>
          <w:szCs w:val="21"/>
        </w:rPr>
      </w:pPr>
      <w:r>
        <w:rPr>
          <w:rFonts w:hint="eastAsia" w:ascii="宋体" w:hAnsi="宋体" w:cs="宋体"/>
          <w:szCs w:val="21"/>
        </w:rPr>
        <w:t>3.3.3 谈判小组对供应商提交的澄清、说明有疑问的，可以要求供应商进一步澄清、说明。</w:t>
      </w:r>
    </w:p>
    <w:p w14:paraId="5A99ED8B">
      <w:pPr>
        <w:tabs>
          <w:tab w:val="left" w:pos="900"/>
          <w:tab w:val="left" w:pos="1588"/>
        </w:tabs>
        <w:spacing w:line="360" w:lineRule="auto"/>
        <w:ind w:firstLine="420" w:firstLineChars="200"/>
        <w:rPr>
          <w:rFonts w:hint="eastAsia" w:ascii="宋体" w:hAnsi="宋体" w:cs="宋体"/>
          <w:szCs w:val="21"/>
        </w:rPr>
      </w:pPr>
      <w:bookmarkStart w:id="561" w:name="_Toc321836413"/>
      <w:r>
        <w:rPr>
          <w:rFonts w:hint="eastAsia" w:ascii="宋体" w:hAnsi="宋体" w:cs="宋体"/>
          <w:szCs w:val="21"/>
        </w:rPr>
        <w:t>3.4谈判及最终报价</w:t>
      </w:r>
    </w:p>
    <w:p w14:paraId="7CA6481E">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3.4.1谈判小组所有成员集中与通过实质性审查的单一供应商分别进行谈判。在谈判中，谈判的任何一方不得透露与谈判有关的其他供应商的技术资料、价格、折扣和其他信息。</w:t>
      </w:r>
    </w:p>
    <w:p w14:paraId="362508C6">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3.4.2谈判文件有实质性变动的，谈判小组将经采购人代表确认后，以书面形式通知所有参加谈判的供应商。但不得对涉及竞争的公平、公正性内容进行修改、变动。</w:t>
      </w:r>
    </w:p>
    <w:p w14:paraId="4F0C7BAA">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3.4.3为有助于对响应文件的详细审查、评价和比较，谈判小组可要求对供应商分别进行技术询问、澄清，有关要求和答复均现场进行。</w:t>
      </w:r>
    </w:p>
    <w:p w14:paraId="224A2A88">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3.4.4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由授权代表签字的，应当附法定代表人授权书。</w:t>
      </w:r>
    </w:p>
    <w:p w14:paraId="0F92ABFC">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3.4.5谈判小组对供应商提交的澄清、说明有疑问的，可以要求供应商进一步澄清、说明。谈判小组要求供应商澄清、说明或者更正响应文件应当以书面形式作出。供应商的澄清、说明或者更正应当由法定代表人或其授权代表签字或者加盖公章。</w:t>
      </w:r>
    </w:p>
    <w:p w14:paraId="48B66365">
      <w:pPr>
        <w:tabs>
          <w:tab w:val="left" w:pos="900"/>
          <w:tab w:val="left" w:pos="1588"/>
        </w:tabs>
        <w:spacing w:line="360" w:lineRule="auto"/>
        <w:ind w:firstLine="367" w:firstLineChars="175"/>
        <w:rPr>
          <w:rFonts w:hint="eastAsia" w:ascii="宋体" w:hAnsi="宋体" w:cs="宋体"/>
          <w:szCs w:val="21"/>
        </w:rPr>
      </w:pPr>
      <w:r>
        <w:rPr>
          <w:rFonts w:hint="eastAsia" w:ascii="宋体" w:hAnsi="宋体" w:cs="宋体"/>
          <w:szCs w:val="21"/>
        </w:rPr>
        <w:t>3.4.6谈判结束后，谈判小组将要求所有继续参加谈判的供应商在规定时间内提交（二次）最终报价。</w:t>
      </w:r>
    </w:p>
    <w:p w14:paraId="6BE908E5">
      <w:pPr>
        <w:tabs>
          <w:tab w:val="left" w:pos="900"/>
          <w:tab w:val="left" w:pos="1588"/>
        </w:tabs>
        <w:spacing w:line="360" w:lineRule="auto"/>
        <w:rPr>
          <w:rFonts w:hint="eastAsia" w:ascii="宋体" w:hAnsi="宋体" w:cs="宋体"/>
          <w:szCs w:val="21"/>
        </w:rPr>
      </w:pPr>
      <w:r>
        <w:rPr>
          <w:rFonts w:hint="eastAsia" w:ascii="宋体" w:hAnsi="宋体" w:cs="宋体"/>
          <w:szCs w:val="21"/>
        </w:rPr>
        <w:t>3.5 谈判结果</w:t>
      </w:r>
      <w:bookmarkEnd w:id="561"/>
    </w:p>
    <w:p w14:paraId="52210EE8">
      <w:pPr>
        <w:spacing w:line="360" w:lineRule="auto"/>
        <w:ind w:firstLine="367" w:firstLineChars="175"/>
        <w:rPr>
          <w:rFonts w:hint="eastAsia" w:ascii="宋体" w:hAnsi="宋体" w:cs="宋体"/>
          <w:szCs w:val="21"/>
        </w:rPr>
      </w:pPr>
      <w:r>
        <w:rPr>
          <w:rFonts w:hint="eastAsia" w:ascii="宋体" w:hAnsi="宋体" w:cs="宋体"/>
          <w:szCs w:val="21"/>
        </w:rPr>
        <w:t>3.5.1 谈判小组按得分由高到低顺序推荐成交候选人，并提出书面谈判报告。</w:t>
      </w:r>
    </w:p>
    <w:p w14:paraId="2AD0A2C1">
      <w:pPr>
        <w:spacing w:line="360" w:lineRule="auto"/>
        <w:ind w:firstLine="367" w:firstLineChars="175"/>
        <w:rPr>
          <w:rFonts w:hint="eastAsia" w:ascii="宋体" w:hAnsi="宋体" w:cs="宋体"/>
          <w:szCs w:val="21"/>
        </w:rPr>
      </w:pPr>
      <w:r>
        <w:rPr>
          <w:rFonts w:hint="eastAsia" w:ascii="宋体" w:hAnsi="宋体" w:cs="宋体"/>
          <w:szCs w:val="21"/>
        </w:rPr>
        <w:t>3.5.2 采购人根据谈判小组提出的书面谈判报告和推荐的成交候选人名单，确定成交人。</w:t>
      </w:r>
    </w:p>
    <w:p w14:paraId="632F0C1A">
      <w:pPr>
        <w:spacing w:line="360" w:lineRule="auto"/>
        <w:ind w:firstLine="367" w:firstLineChars="175"/>
        <w:rPr>
          <w:rFonts w:hint="eastAsia" w:ascii="宋体" w:hAnsi="宋体" w:cs="宋体"/>
          <w:szCs w:val="21"/>
        </w:rPr>
      </w:pPr>
      <w:r>
        <w:rPr>
          <w:rFonts w:hint="eastAsia" w:ascii="宋体" w:hAnsi="宋体" w:cs="宋体"/>
          <w:szCs w:val="21"/>
        </w:rPr>
        <w:t>3.5.3谈判小组发现采购文件存在歧义、重大缺陷导致评审工作无法进行，或者采购文件内容违反国家有关规定的，要停止评审工作并向采购人书面说明情况，采购人应当修改采购文件后重新组织采购活动；发现供应商提供虚假材料、串通等违法违规行为的，要及时向采购人报告。</w:t>
      </w:r>
    </w:p>
    <w:p w14:paraId="2A6E07C3">
      <w:pPr>
        <w:adjustRightInd w:val="0"/>
        <w:spacing w:line="360" w:lineRule="auto"/>
        <w:ind w:firstLine="420" w:firstLineChars="200"/>
        <w:rPr>
          <w:rFonts w:hint="eastAsia" w:ascii="宋体" w:hAnsi="宋体" w:cs="宋体"/>
          <w:szCs w:val="21"/>
        </w:rPr>
      </w:pPr>
    </w:p>
    <w:p w14:paraId="5FBEBC09">
      <w:pPr>
        <w:adjustRightInd w:val="0"/>
        <w:spacing w:line="360" w:lineRule="auto"/>
        <w:ind w:firstLine="420" w:firstLineChars="200"/>
        <w:rPr>
          <w:rFonts w:hint="eastAsia" w:ascii="宋体" w:hAnsi="宋体" w:cs="宋体"/>
          <w:szCs w:val="21"/>
        </w:rPr>
      </w:pPr>
    </w:p>
    <w:sectPr>
      <w:headerReference r:id="rId14" w:type="first"/>
      <w:footerReference r:id="rId16" w:type="first"/>
      <w:headerReference r:id="rId13" w:type="default"/>
      <w:footerReference r:id="rId15" w:type="default"/>
      <w:pgSz w:w="11906" w:h="16838"/>
      <w:pgMar w:top="1440" w:right="1080" w:bottom="1440" w:left="1080" w:header="850" w:footer="850"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宋体-WinCharSetFFFF-H">
    <w:altName w:val="宋体"/>
    <w:panose1 w:val="00000000000000000000"/>
    <w:charset w:val="86"/>
    <w:family w:val="auto"/>
    <w:pitch w:val="default"/>
    <w:sig w:usb0="00000000" w:usb1="00000000" w:usb2="00000010" w:usb3="00000000" w:csb0="00040000" w:csb1="00000000"/>
  </w:font>
  <w:font w:name="文鼎CS中宋">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宋体峲.磱..">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EF38">
    <w:pPr>
      <w:pStyle w:val="29"/>
      <w:tabs>
        <w:tab w:val="right" w:pos="9525"/>
        <w:tab w:val="clear" w:pos="4153"/>
      </w:tabs>
      <w:ind w:right="360"/>
      <w:rPr>
        <w:sz w:val="21"/>
      </w:rPr>
    </w:pPr>
    <w:r>
      <w:rPr>
        <w:sz w:val="21"/>
        <w:szCs w:val="21"/>
      </w:rPr>
      <w:drawing>
        <wp:inline distT="0" distB="0" distL="114300" distR="114300">
          <wp:extent cx="1024255" cy="231775"/>
          <wp:effectExtent l="0" t="0" r="4445" b="6350"/>
          <wp:docPr id="8" name="Picture 1" descr="38122844682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381228446826312"/>
                  <pic:cNvPicPr>
                    <a:picLocks noChangeAspect="1"/>
                  </pic:cNvPicPr>
                </pic:nvPicPr>
                <pic:blipFill>
                  <a:blip r:embed="rId1"/>
                  <a:stretch>
                    <a:fillRect/>
                  </a:stretch>
                </pic:blipFill>
                <pic:spPr>
                  <a:xfrm>
                    <a:off x="0" y="0"/>
                    <a:ext cx="1024255" cy="2317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2534">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93A8">
    <w:pPr>
      <w:pStyle w:val="29"/>
      <w:tabs>
        <w:tab w:val="right" w:pos="9525"/>
        <w:tab w:val="clear" w:pos="4153"/>
      </w:tabs>
      <w:ind w:right="360"/>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6868D0">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fWkSz9IBAACjAwAADgAAAAAAAAABACAAAAAi&#10;AQAAZHJzL2Uyb0RvYy54bWxQSwUGAAAAAAYABgBZAQAAZgUAAAAA&#10;">
              <v:fill on="f" focussize="0,0"/>
              <v:stroke on="f" weight="1.25pt"/>
              <v:imagedata o:title=""/>
              <o:lock v:ext="edit" aspectratio="f"/>
              <v:textbox inset="0mm,0mm,0mm,0mm" style="mso-fit-shape-to-text:t;">
                <w:txbxContent>
                  <w:p w14:paraId="526868D0">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AAE3">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366DF6">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anyHSAQAAo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Ngw9q3+V1Sq2Af3u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ZqfIdIBAACjAwAADgAAAAAAAAABACAAAAAi&#10;AQAAZHJzL2Uyb0RvYy54bWxQSwUGAAAAAAYABgBZAQAAZgUAAAAA&#10;">
              <v:fill on="f" focussize="0,0"/>
              <v:stroke on="f" weight="1.25pt"/>
              <v:imagedata o:title=""/>
              <o:lock v:ext="edit" aspectratio="f"/>
              <v:textbox inset="0mm,0mm,0mm,0mm" style="mso-fit-shape-to-text:t;">
                <w:txbxContent>
                  <w:p w14:paraId="0E366DF6">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0F2B">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C6958B7">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GmC&#10;S9MAAAAFAQAADwAAAAAAAAABACAAAAAiAAAAZHJzL2Rvd25yZXYueG1sUEsBAhQAFAAAAAgAh07i&#10;QODEE8fuAQAA1wMAAA4AAAAAAAAAAQAgAAAAIgEAAGRycy9lMm9Eb2MueG1sUEsFBgAAAAAGAAYA&#10;WQEAAIIFAAAAAA==&#10;">
              <v:fill on="f" focussize="0,0"/>
              <v:stroke on="f" weight="1.25pt"/>
              <v:imagedata o:title=""/>
              <o:lock v:ext="edit" aspectratio="f"/>
              <v:textbox inset="0mm,0mm,0mm,0mm" style="mso-fit-shape-to-text:t;">
                <w:txbxContent>
                  <w:p w14:paraId="7C6958B7">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3F4C2B">
                          <w:pPr>
                            <w:pStyle w:val="29"/>
                            <w:rPr>
                              <w:rFonts w:hint="default" w:ascii="Times New Roman" w:hAnsi="Times New Roman" w:cs="Times New Roman"/>
                              <w:sz w:val="24"/>
                              <w:szCs w:val="24"/>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cfpe&#10;1O0BAADVAwAADgAAAAAAAAABACAAAAAfAQAAZHJzL2Uyb0RvYy54bWxQSwUGAAAAAAYABgBZAQAA&#10;fgUAAAAA&#10;">
              <v:fill on="f" focussize="0,0"/>
              <v:stroke on="f" weight="0.5pt"/>
              <v:imagedata o:title=""/>
              <o:lock v:ext="edit" aspectratio="f"/>
              <v:textbox inset="0mm,0mm,0mm,0mm" style="mso-fit-shape-to-text:t;">
                <w:txbxContent>
                  <w:p w14:paraId="5F3F4C2B">
                    <w:pPr>
                      <w:pStyle w:val="29"/>
                      <w:rPr>
                        <w:rFonts w:hint="default" w:ascii="Times New Roman" w:hAnsi="Times New Roman" w:cs="Times New Roman"/>
                        <w:sz w:val="24"/>
                        <w:szCs w:val="24"/>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7590">
    <w:pPr>
      <w:pStyle w:val="29"/>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7165" cy="1524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77165" cy="152400"/>
                      </a:xfrm>
                      <a:prstGeom prst="rect">
                        <a:avLst/>
                      </a:prstGeom>
                      <a:noFill/>
                      <a:ln w="15875">
                        <a:noFill/>
                      </a:ln>
                    </wps:spPr>
                    <wps:txbx>
                      <w:txbxContent>
                        <w:p w14:paraId="7B0F6CD7">
                          <w:pPr>
                            <w:pStyle w:val="29"/>
                            <w:jc w:val="center"/>
                            <w:rPr>
                              <w:rStyle w:val="52"/>
                            </w:rPr>
                          </w:pPr>
                          <w:r>
                            <w:fldChar w:fldCharType="begin"/>
                          </w:r>
                          <w:r>
                            <w:rPr>
                              <w:rStyle w:val="52"/>
                            </w:rPr>
                            <w:instrText xml:space="preserve">PAGE  </w:instrText>
                          </w:r>
                          <w:r>
                            <w:fldChar w:fldCharType="separate"/>
                          </w:r>
                          <w:r>
                            <w:rPr>
                              <w:rStyle w:val="52"/>
                            </w:rPr>
                            <w:t>41</w:t>
                          </w:r>
                          <w:r>
                            <w:fldChar w:fldCharType="end"/>
                          </w:r>
                        </w:p>
                      </w:txbxContent>
                    </wps:txbx>
                    <wps:bodyPr wrap="square" lIns="0" tIns="0" rIns="0" bIns="0" upright="0">
                      <a:spAutoFit/>
                    </wps:bodyPr>
                  </wps:wsp>
                </a:graphicData>
              </a:graphic>
            </wp:anchor>
          </w:drawing>
        </mc:Choice>
        <mc:Fallback>
          <w:pict>
            <v:shape id="文本框 16" o:spid="_x0000_s1026" o:spt="202" type="#_x0000_t202" style="position:absolute;left:0pt;margin-top:0pt;height:12pt;width:13.95pt;mso-position-horizontal:center;mso-position-horizontal-relative:margin;z-index:251662336;mso-width-relative:page;mso-height-relative:page;" filled="f" stroked="f" coordsize="21600,21600" o:gfxdata="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4QDYrTAAAAAwEAAA8AAAAAAAAAAQAgAAAA&#10;IgAAAGRycy9kb3ducmV2LnhtbFBLAQIUABQAAAAIAIdO4kBMBELX1wEAAKQDAAAOAAAAAAAAAAEA&#10;IAAAACIBAABkcnMvZTJvRG9jLnhtbFBLBQYAAAAABgAGAFkBAABrBQAAAAA=&#10;">
              <v:fill on="f" focussize="0,0"/>
              <v:stroke on="f" weight="1.25pt"/>
              <v:imagedata o:title=""/>
              <o:lock v:ext="edit" aspectratio="f"/>
              <v:textbox inset="0mm,0mm,0mm,0mm" style="mso-fit-shape-to-text:t;">
                <w:txbxContent>
                  <w:p w14:paraId="7B0F6CD7">
                    <w:pPr>
                      <w:pStyle w:val="29"/>
                      <w:jc w:val="center"/>
                      <w:rPr>
                        <w:rStyle w:val="52"/>
                      </w:rPr>
                    </w:pPr>
                    <w:r>
                      <w:fldChar w:fldCharType="begin"/>
                    </w:r>
                    <w:r>
                      <w:rPr>
                        <w:rStyle w:val="52"/>
                      </w:rPr>
                      <w:instrText xml:space="preserve">PAGE  </w:instrText>
                    </w:r>
                    <w:r>
                      <w:fldChar w:fldCharType="separate"/>
                    </w:r>
                    <w:r>
                      <w:rPr>
                        <w:rStyle w:val="52"/>
                      </w:rP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7018">
    <w:pPr>
      <w:pStyle w:val="29"/>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A8F47F">
                          <w:pPr>
                            <w:pStyle w:val="29"/>
                            <w:jc w:val="center"/>
                            <w:rPr>
                              <w:rStyle w:val="52"/>
                            </w:rPr>
                          </w:pPr>
                          <w:r>
                            <w:fldChar w:fldCharType="begin"/>
                          </w:r>
                          <w:r>
                            <w:rPr>
                              <w:rStyle w:val="52"/>
                            </w:rPr>
                            <w:instrText xml:space="preserve">PAGE  </w:instrText>
                          </w:r>
                          <w:r>
                            <w:fldChar w:fldCharType="separate"/>
                          </w:r>
                          <w:r>
                            <w:rPr>
                              <w:rStyle w:val="52"/>
                            </w:rPr>
                            <w:t>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v+IrDTAQAApA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VN0qf3UGPag8fEOLx3A27NfA94mWgPMpj0RUIE46ju6aKuGCLh6VG1qqoSQxxjs4P4xdNz&#10;HyB+EM6QZDQ04Piyquz4CeKYOqekatbdK63zCLUlPaJeVTdX+cUlhOjaYpHEYuw2WXHYDRO1nWtP&#10;yKzHHWioxZWnRH+0KHFal9kIs7GbjYMPat/lfUqtgL87RGwnd5kqjLBTYRxe5jktWtqOf/2c9fRz&#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v+IrDTAQAApAMAAA4AAAAAAAAAAQAgAAAA&#10;IgEAAGRycy9lMm9Eb2MueG1sUEsFBgAAAAAGAAYAWQEAAGcFAAAAAA==&#10;">
              <v:fill on="f" focussize="0,0"/>
              <v:stroke on="f" weight="1.25pt"/>
              <v:imagedata o:title=""/>
              <o:lock v:ext="edit" aspectratio="f"/>
              <v:textbox inset="0mm,0mm,0mm,0mm" style="mso-fit-shape-to-text:t;">
                <w:txbxContent>
                  <w:p w14:paraId="73A8F47F">
                    <w:pPr>
                      <w:pStyle w:val="29"/>
                      <w:jc w:val="center"/>
                      <w:rPr>
                        <w:rStyle w:val="52"/>
                      </w:rPr>
                    </w:pPr>
                    <w:r>
                      <w:fldChar w:fldCharType="begin"/>
                    </w:r>
                    <w:r>
                      <w:rPr>
                        <w:rStyle w:val="52"/>
                      </w:rPr>
                      <w:instrText xml:space="preserve">PAGE  </w:instrText>
                    </w:r>
                    <w:r>
                      <w:fldChar w:fldCharType="separate"/>
                    </w:r>
                    <w:r>
                      <w:rPr>
                        <w:rStyle w:val="52"/>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9BF30">
    <w:pPr>
      <w:pStyle w:val="30"/>
      <w:jc w:val="left"/>
    </w:pPr>
    <w:r>
      <w:rPr>
        <w:rFonts w:hint="eastAsia"/>
      </w:rPr>
      <w:t>云南先锋化工有限公司2021年度职工食堂菜品采购项目                                                协商文件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38B48">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66D2">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3436">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C7030">
    <w:pPr>
      <w:pStyle w:val="30"/>
      <w:jc w:val="left"/>
      <w:rPr>
        <w:rFonts w:hint="default"/>
        <w:lang w:val="en-US" w:eastAsia="zh-CN"/>
      </w:rPr>
    </w:pPr>
    <w:r>
      <w:rPr>
        <w:rFonts w:hint="eastAsia"/>
        <w:lang w:val="en-US" w:eastAsia="zh-CN"/>
      </w:rPr>
      <w:t>云南解化清洁能源开发有限公司解化化工分公司2026-2027年二甲醚厂煤气化辅助岗位等劳务外包项目</w:t>
    </w:r>
    <w:r>
      <w:rPr>
        <w:rFonts w:hint="eastAsia" w:ascii="宋体" w:hAnsi="宋体" w:cs="宋体"/>
        <w:szCs w:val="21"/>
      </w:rPr>
      <w:t xml:space="preserve">              公开竞争性谈判文件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3EB7">
    <w:pPr>
      <w:pStyle w:val="30"/>
      <w:pBdr>
        <w:bottom w:val="none" w:color="auto" w:sz="0" w:space="1"/>
      </w:pBdr>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87CE">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ind w:left="1129" w:hanging="420"/>
      </w:pPr>
    </w:lvl>
    <w:lvl w:ilvl="1" w:tentative="0">
      <w:start w:val="1"/>
      <w:numFmt w:val="lowerLetter"/>
      <w:pStyle w:val="297"/>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05357E8B"/>
    <w:multiLevelType w:val="multilevel"/>
    <w:tmpl w:val="05357E8B"/>
    <w:lvl w:ilvl="0" w:tentative="0">
      <w:start w:val="1"/>
      <w:numFmt w:val="bullet"/>
      <w:pStyle w:val="195"/>
      <w:lvlText w:val=""/>
      <w:lvlJc w:val="left"/>
      <w:pPr>
        <w:ind w:left="420" w:hanging="420"/>
      </w:pPr>
      <w:rPr>
        <w:rFonts w:hint="default" w:ascii="Wingdings" w:hAnsi="Wingdings"/>
      </w:rPr>
    </w:lvl>
    <w:lvl w:ilvl="1" w:tentative="0">
      <w:start w:val="1"/>
      <w:numFmt w:val="bullet"/>
      <w:pStyle w:val="35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F957789"/>
    <w:multiLevelType w:val="multilevel"/>
    <w:tmpl w:val="0F957789"/>
    <w:lvl w:ilvl="0" w:tentative="0">
      <w:start w:val="3"/>
      <w:numFmt w:val="decimal"/>
      <w:pStyle w:val="261"/>
      <w:lvlText w:val="第%1章"/>
      <w:lvlJc w:val="left"/>
      <w:pPr>
        <w:tabs>
          <w:tab w:val="left" w:pos="425"/>
        </w:tabs>
        <w:ind w:left="425" w:hanging="425"/>
      </w:pPr>
    </w:lvl>
    <w:lvl w:ilvl="1" w:tentative="0">
      <w:start w:val="1"/>
      <w:numFmt w:val="decimal"/>
      <w:pStyle w:val="334"/>
      <w:lvlText w:val="%1.%2 "/>
      <w:lvlJc w:val="left"/>
      <w:pPr>
        <w:tabs>
          <w:tab w:val="left" w:pos="567"/>
        </w:tabs>
        <w:ind w:left="567" w:hanging="567"/>
      </w:pPr>
    </w:lvl>
    <w:lvl w:ilvl="2" w:tentative="0">
      <w:start w:val="1"/>
      <w:numFmt w:val="decimal"/>
      <w:pStyle w:val="392"/>
      <w:lvlText w:val="%1.%2.%3 "/>
      <w:lvlJc w:val="left"/>
      <w:pPr>
        <w:tabs>
          <w:tab w:val="left" w:pos="709"/>
        </w:tabs>
        <w:ind w:left="709" w:hanging="709"/>
      </w:pPr>
    </w:lvl>
    <w:lvl w:ilvl="3" w:tentative="0">
      <w:start w:val="1"/>
      <w:numFmt w:val="decimal"/>
      <w:pStyle w:val="365"/>
      <w:lvlText w:val="%1.%2.%3.%4 "/>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12353B45"/>
    <w:multiLevelType w:val="multilevel"/>
    <w:tmpl w:val="12353B45"/>
    <w:lvl w:ilvl="0" w:tentative="0">
      <w:start w:val="1"/>
      <w:numFmt w:val="decimal"/>
      <w:pStyle w:val="284"/>
      <w:lvlText w:val="第%1章"/>
      <w:lvlJc w:val="left"/>
      <w:pPr>
        <w:ind w:left="420" w:hanging="420"/>
      </w:pPr>
    </w:lvl>
    <w:lvl w:ilvl="1" w:tentative="0">
      <w:start w:val="1"/>
      <w:numFmt w:val="decimal"/>
      <w:pStyle w:val="326"/>
      <w:lvlText w:val="%1.%2."/>
      <w:lvlJc w:val="left"/>
      <w:pPr>
        <w:ind w:left="567" w:hanging="567"/>
      </w:pPr>
    </w:lvl>
    <w:lvl w:ilvl="2" w:tentative="0">
      <w:start w:val="1"/>
      <w:numFmt w:val="decimal"/>
      <w:pStyle w:val="293"/>
      <w:lvlText w:val="%1.%2.%3."/>
      <w:lvlJc w:val="left"/>
      <w:pPr>
        <w:ind w:left="709" w:hanging="709"/>
      </w:pPr>
    </w:lvl>
    <w:lvl w:ilvl="3" w:tentative="0">
      <w:start w:val="1"/>
      <w:numFmt w:val="decimal"/>
      <w:lvlText w:val="%1.%2.%3.%4."/>
      <w:lvlJc w:val="left"/>
      <w:pPr>
        <w:ind w:left="851" w:hanging="851"/>
      </w:pPr>
    </w:lvl>
    <w:lvl w:ilvl="4" w:tentative="0">
      <w:start w:val="1"/>
      <w:numFmt w:val="decimal"/>
      <w:pStyle w:val="351"/>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3B7226CD"/>
    <w:multiLevelType w:val="singleLevel"/>
    <w:tmpl w:val="3B7226CD"/>
    <w:lvl w:ilvl="0" w:tentative="0">
      <w:start w:val="3"/>
      <w:numFmt w:val="chineseCounting"/>
      <w:suff w:val="nothing"/>
      <w:lvlText w:val="（%1）"/>
      <w:lvlJc w:val="left"/>
      <w:rPr>
        <w:rFonts w:hint="eastAsia"/>
      </w:rPr>
    </w:lvl>
  </w:abstractNum>
  <w:abstractNum w:abstractNumId="5">
    <w:nsid w:val="40C74A91"/>
    <w:multiLevelType w:val="multilevel"/>
    <w:tmpl w:val="40C74A91"/>
    <w:lvl w:ilvl="0" w:tentative="0">
      <w:start w:val="1"/>
      <w:numFmt w:val="none"/>
      <w:suff w:val="nothing"/>
      <w:lvlText w:val="%1"/>
      <w:lvlJc w:val="left"/>
      <w:pPr>
        <w:ind w:left="840" w:firstLine="0"/>
      </w:pPr>
      <w:rPr>
        <w:rFonts w:hint="default" w:ascii="Times New Roman" w:hAnsi="Times New Roman"/>
        <w:b/>
        <w:i w:val="0"/>
        <w:sz w:val="21"/>
      </w:rPr>
    </w:lvl>
    <w:lvl w:ilvl="1" w:tentative="0">
      <w:start w:val="1"/>
      <w:numFmt w:val="decimal"/>
      <w:pStyle w:val="311"/>
      <w:suff w:val="nothing"/>
      <w:lvlText w:val="%1%2　"/>
      <w:lvlJc w:val="left"/>
      <w:pPr>
        <w:ind w:left="840" w:hanging="840"/>
      </w:pPr>
      <w:rPr>
        <w:rFonts w:hint="eastAsia" w:ascii="黑体" w:hAnsi="Times New Roman" w:eastAsia="黑体"/>
        <w:b w:val="0"/>
        <w:i w:val="0"/>
        <w:sz w:val="21"/>
      </w:rPr>
    </w:lvl>
    <w:lvl w:ilvl="2" w:tentative="0">
      <w:start w:val="1"/>
      <w:numFmt w:val="decimal"/>
      <w:pStyle w:val="310"/>
      <w:suff w:val="nothing"/>
      <w:lvlText w:val="%1%2.%3　"/>
      <w:lvlJc w:val="left"/>
      <w:pPr>
        <w:ind w:left="0" w:firstLine="0"/>
      </w:pPr>
      <w:rPr>
        <w:rFonts w:hint="eastAsia" w:ascii="黑体" w:hAnsi="Times New Roman" w:eastAsia="黑体"/>
        <w:b w:val="0"/>
        <w:i w:val="0"/>
        <w:sz w:val="21"/>
      </w:rPr>
    </w:lvl>
    <w:lvl w:ilvl="3" w:tentative="0">
      <w:start w:val="1"/>
      <w:numFmt w:val="none"/>
      <w:pStyle w:val="372"/>
      <w:suff w:val="nothing"/>
      <w:lvlText w:val="4.2.5.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840" w:firstLine="0"/>
      </w:pPr>
      <w:rPr>
        <w:rFonts w:hint="eastAsia" w:ascii="黑体" w:hAnsi="Times New Roman" w:eastAsia="黑体"/>
        <w:b w:val="0"/>
        <w:i w:val="0"/>
        <w:sz w:val="21"/>
      </w:rPr>
    </w:lvl>
    <w:lvl w:ilvl="6" w:tentative="0">
      <w:start w:val="1"/>
      <w:numFmt w:val="decimal"/>
      <w:suff w:val="nothing"/>
      <w:lvlText w:val="%1%2.%3.%4.%5.%6.%7　"/>
      <w:lvlJc w:val="left"/>
      <w:pPr>
        <w:ind w:left="840" w:firstLine="0"/>
      </w:pPr>
      <w:rPr>
        <w:rFonts w:hint="eastAsia" w:ascii="黑体" w:hAnsi="Times New Roman" w:eastAsia="黑体"/>
        <w:b w:val="0"/>
        <w:i w:val="0"/>
        <w:sz w:val="21"/>
      </w:rPr>
    </w:lvl>
    <w:lvl w:ilvl="7" w:tentative="0">
      <w:start w:val="1"/>
      <w:numFmt w:val="decimal"/>
      <w:lvlText w:val="%1.%2.%3.%4.%5.%6.%7.%8"/>
      <w:lvlJc w:val="left"/>
      <w:pPr>
        <w:tabs>
          <w:tab w:val="left" w:pos="5191"/>
        </w:tabs>
        <w:ind w:left="4809" w:hanging="1418"/>
      </w:pPr>
      <w:rPr>
        <w:rFonts w:hint="eastAsia"/>
      </w:rPr>
    </w:lvl>
    <w:lvl w:ilvl="8" w:tentative="0">
      <w:start w:val="1"/>
      <w:numFmt w:val="decimal"/>
      <w:lvlText w:val="%1.%2.%3.%4.%5.%6.%7.%8.%9"/>
      <w:lvlJc w:val="left"/>
      <w:pPr>
        <w:tabs>
          <w:tab w:val="left" w:pos="5617"/>
        </w:tabs>
        <w:ind w:left="5517" w:hanging="1700"/>
      </w:pPr>
      <w:rPr>
        <w:rFonts w:hint="eastAsia"/>
      </w:rPr>
    </w:lvl>
  </w:abstractNum>
  <w:abstractNum w:abstractNumId="6">
    <w:nsid w:val="458B36FD"/>
    <w:multiLevelType w:val="multilevel"/>
    <w:tmpl w:val="458B36FD"/>
    <w:lvl w:ilvl="0" w:tentative="0">
      <w:start w:val="1"/>
      <w:numFmt w:val="decimal"/>
      <w:lvlText w:val="%1."/>
      <w:lvlJc w:val="left"/>
      <w:pPr>
        <w:tabs>
          <w:tab w:val="left" w:pos="786"/>
        </w:tabs>
        <w:ind w:left="786" w:hanging="360"/>
      </w:pPr>
      <w:rPr>
        <w:rFonts w:hint="default"/>
      </w:rPr>
    </w:lvl>
    <w:lvl w:ilvl="1" w:tentative="0">
      <w:start w:val="1"/>
      <w:numFmt w:val="decimal"/>
      <w:isLgl/>
      <w:lvlText w:val="%1.%2"/>
      <w:lvlJc w:val="left"/>
      <w:pPr>
        <w:ind w:left="1335" w:hanging="915"/>
      </w:pPr>
      <w:rPr>
        <w:rFonts w:hint="default"/>
      </w:rPr>
    </w:lvl>
    <w:lvl w:ilvl="2" w:tentative="0">
      <w:start w:val="1"/>
      <w:numFmt w:val="decimal"/>
      <w:isLgl/>
      <w:lvlText w:val="%1.%2.%3"/>
      <w:lvlJc w:val="left"/>
      <w:pPr>
        <w:ind w:left="1613" w:hanging="915"/>
      </w:pPr>
      <w:rPr>
        <w:rFonts w:hint="default"/>
      </w:rPr>
    </w:lvl>
    <w:lvl w:ilvl="3" w:tentative="0">
      <w:start w:val="1"/>
      <w:numFmt w:val="decimal"/>
      <w:isLgl/>
      <w:lvlText w:val="%1.%2.%3.%4"/>
      <w:lvlJc w:val="left"/>
      <w:pPr>
        <w:ind w:left="1891" w:hanging="915"/>
      </w:pPr>
      <w:rPr>
        <w:rFonts w:hint="default"/>
      </w:rPr>
    </w:lvl>
    <w:lvl w:ilvl="4" w:tentative="0">
      <w:start w:val="1"/>
      <w:numFmt w:val="decimal"/>
      <w:isLgl/>
      <w:lvlText w:val="%1.%2.%3.%4.%5"/>
      <w:lvlJc w:val="left"/>
      <w:pPr>
        <w:ind w:left="2334" w:hanging="1080"/>
      </w:pPr>
      <w:rPr>
        <w:rFonts w:hint="default"/>
      </w:rPr>
    </w:lvl>
    <w:lvl w:ilvl="5" w:tentative="0">
      <w:start w:val="1"/>
      <w:numFmt w:val="decimal"/>
      <w:isLgl/>
      <w:lvlText w:val="%1.%2.%3.%4.%5.%6"/>
      <w:lvlJc w:val="left"/>
      <w:pPr>
        <w:ind w:left="2612" w:hanging="1080"/>
      </w:pPr>
      <w:rPr>
        <w:rFonts w:hint="default"/>
      </w:rPr>
    </w:lvl>
    <w:lvl w:ilvl="6" w:tentative="0">
      <w:start w:val="1"/>
      <w:numFmt w:val="decimal"/>
      <w:isLgl/>
      <w:lvlText w:val="%1.%2.%3.%4.%5.%6.%7"/>
      <w:lvlJc w:val="left"/>
      <w:pPr>
        <w:ind w:left="2890" w:hanging="1080"/>
      </w:pPr>
      <w:rPr>
        <w:rFonts w:hint="default"/>
      </w:rPr>
    </w:lvl>
    <w:lvl w:ilvl="7" w:tentative="0">
      <w:start w:val="1"/>
      <w:numFmt w:val="decimal"/>
      <w:isLgl/>
      <w:lvlText w:val="%1.%2.%3.%4.%5.%6.%7.%8"/>
      <w:lvlJc w:val="left"/>
      <w:pPr>
        <w:ind w:left="3528" w:hanging="1440"/>
      </w:pPr>
      <w:rPr>
        <w:rFonts w:hint="default"/>
      </w:rPr>
    </w:lvl>
    <w:lvl w:ilvl="8" w:tentative="0">
      <w:start w:val="1"/>
      <w:numFmt w:val="decimal"/>
      <w:isLgl/>
      <w:lvlText w:val="%1.%2.%3.%4.%5.%6.%7.%8.%9"/>
      <w:lvlJc w:val="left"/>
      <w:pPr>
        <w:ind w:left="3806" w:hanging="1440"/>
      </w:pPr>
      <w:rPr>
        <w:rFonts w:hint="default"/>
      </w:rPr>
    </w:lvl>
  </w:abstractNum>
  <w:abstractNum w:abstractNumId="7">
    <w:nsid w:val="5D6E0061"/>
    <w:multiLevelType w:val="multilevel"/>
    <w:tmpl w:val="5D6E0061"/>
    <w:lvl w:ilvl="0" w:tentative="0">
      <w:start w:val="1"/>
      <w:numFmt w:val="decimal"/>
      <w:pStyle w:val="285"/>
      <w:lvlText w:val="%1."/>
      <w:lvlJc w:val="left"/>
      <w:pPr>
        <w:tabs>
          <w:tab w:val="left" w:pos="740"/>
        </w:tabs>
        <w:ind w:left="740" w:hanging="425"/>
      </w:pPr>
      <w:rPr>
        <w:rFonts w:hint="eastAsia"/>
      </w:rPr>
    </w:lvl>
    <w:lvl w:ilvl="1" w:tentative="0">
      <w:start w:val="1"/>
      <w:numFmt w:val="decimal"/>
      <w:lvlText w:val="%1.%2."/>
      <w:lvlJc w:val="left"/>
      <w:pPr>
        <w:tabs>
          <w:tab w:val="left" w:pos="882"/>
        </w:tabs>
        <w:ind w:left="882" w:hanging="567"/>
      </w:pPr>
      <w:rPr>
        <w:rFonts w:hint="eastAsia"/>
      </w:rPr>
    </w:lvl>
    <w:lvl w:ilvl="2" w:tentative="0">
      <w:start w:val="1"/>
      <w:numFmt w:val="decimal"/>
      <w:lvlText w:val="%1.%2.%3."/>
      <w:lvlJc w:val="left"/>
      <w:pPr>
        <w:tabs>
          <w:tab w:val="left" w:pos="1024"/>
        </w:tabs>
        <w:ind w:left="1024" w:hanging="709"/>
      </w:pPr>
      <w:rPr>
        <w:rFonts w:hint="eastAsia"/>
      </w:rPr>
    </w:lvl>
    <w:lvl w:ilvl="3" w:tentative="0">
      <w:start w:val="1"/>
      <w:numFmt w:val="decimal"/>
      <w:lvlText w:val="%1.%2.%3.%4."/>
      <w:lvlJc w:val="left"/>
      <w:pPr>
        <w:tabs>
          <w:tab w:val="left" w:pos="1166"/>
        </w:tabs>
        <w:ind w:left="1166" w:hanging="851"/>
      </w:pPr>
      <w:rPr>
        <w:rFonts w:hint="eastAsia"/>
      </w:rPr>
    </w:lvl>
    <w:lvl w:ilvl="4" w:tentative="0">
      <w:start w:val="1"/>
      <w:numFmt w:val="decimal"/>
      <w:lvlText w:val="%1.%2.%3.%4.%5."/>
      <w:lvlJc w:val="left"/>
      <w:pPr>
        <w:tabs>
          <w:tab w:val="left" w:pos="1307"/>
        </w:tabs>
        <w:ind w:left="1307" w:hanging="992"/>
      </w:pPr>
      <w:rPr>
        <w:rFonts w:hint="eastAsia"/>
      </w:rPr>
    </w:lvl>
    <w:lvl w:ilvl="5" w:tentative="0">
      <w:start w:val="1"/>
      <w:numFmt w:val="decimal"/>
      <w:lvlText w:val="%1.%2.%3.%4.%5.%6."/>
      <w:lvlJc w:val="left"/>
      <w:pPr>
        <w:tabs>
          <w:tab w:val="left" w:pos="1449"/>
        </w:tabs>
        <w:ind w:left="1449" w:hanging="1134"/>
      </w:pPr>
      <w:rPr>
        <w:rFonts w:hint="eastAsia"/>
      </w:rPr>
    </w:lvl>
    <w:lvl w:ilvl="6" w:tentative="0">
      <w:start w:val="1"/>
      <w:numFmt w:val="decimal"/>
      <w:lvlText w:val="%1.%2.%3.%4.%5.%6.%7."/>
      <w:lvlJc w:val="left"/>
      <w:pPr>
        <w:tabs>
          <w:tab w:val="left" w:pos="1591"/>
        </w:tabs>
        <w:ind w:left="1591" w:hanging="1276"/>
      </w:pPr>
      <w:rPr>
        <w:rFonts w:hint="eastAsia"/>
      </w:rPr>
    </w:lvl>
    <w:lvl w:ilvl="7" w:tentative="0">
      <w:start w:val="1"/>
      <w:numFmt w:val="decimal"/>
      <w:lvlText w:val="%1.%2.%3.%4.%5.%6.%7.%8."/>
      <w:lvlJc w:val="left"/>
      <w:pPr>
        <w:tabs>
          <w:tab w:val="left" w:pos="1733"/>
        </w:tabs>
        <w:ind w:left="1733" w:hanging="1418"/>
      </w:pPr>
      <w:rPr>
        <w:rFonts w:hint="eastAsia"/>
      </w:rPr>
    </w:lvl>
    <w:lvl w:ilvl="8" w:tentative="0">
      <w:start w:val="1"/>
      <w:numFmt w:val="decimal"/>
      <w:lvlText w:val="%1.%2.%3.%4.%5.%6.%7.%8.%9."/>
      <w:lvlJc w:val="left"/>
      <w:pPr>
        <w:tabs>
          <w:tab w:val="left" w:pos="1874"/>
        </w:tabs>
        <w:ind w:left="1874" w:hanging="1559"/>
      </w:pPr>
      <w:rPr>
        <w:rFonts w:hint="eastAsia"/>
      </w:rPr>
    </w:lvl>
  </w:abstractNum>
  <w:abstractNum w:abstractNumId="8">
    <w:nsid w:val="6CEA2025"/>
    <w:multiLevelType w:val="multilevel"/>
    <w:tmpl w:val="6CEA2025"/>
    <w:lvl w:ilvl="0" w:tentative="0">
      <w:start w:val="1"/>
      <w:numFmt w:val="none"/>
      <w:pStyle w:val="32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360" w:firstLine="0"/>
      </w:pPr>
      <w:rPr>
        <w:rFonts w:hint="eastAsia" w:ascii="黑体" w:hAnsi="Times New Roman" w:eastAsia="黑体"/>
        <w:b/>
        <w:i w:val="0"/>
        <w:sz w:val="21"/>
      </w:rPr>
    </w:lvl>
    <w:lvl w:ilvl="2" w:tentative="0">
      <w:start w:val="1"/>
      <w:numFmt w:val="decimal"/>
      <w:suff w:val="nothing"/>
      <w:lvlText w:val="%1%2.%3　"/>
      <w:lvlJc w:val="left"/>
      <w:pPr>
        <w:ind w:left="0" w:firstLine="0"/>
      </w:pPr>
      <w:rPr>
        <w:rFonts w:hint="eastAsia" w:ascii="黑体" w:hAnsi="Times New Roman" w:eastAsia="黑体"/>
        <w:b/>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17"/>
      <w:suff w:val="nothing"/>
      <w:lvlText w:val="%1%2.%3.%4.%5　"/>
      <w:lvlJc w:val="left"/>
      <w:pPr>
        <w:ind w:left="0" w:firstLine="0"/>
      </w:pPr>
      <w:rPr>
        <w:rFonts w:hint="eastAsia" w:ascii="黑体" w:hAnsi="Times New Roman" w:eastAsia="黑体"/>
        <w:b w:val="0"/>
        <w:i w:val="0"/>
        <w:sz w:val="21"/>
      </w:rPr>
    </w:lvl>
    <w:lvl w:ilvl="5" w:tentative="0">
      <w:start w:val="1"/>
      <w:numFmt w:val="decimal"/>
      <w:pStyle w:val="393"/>
      <w:suff w:val="nothing"/>
      <w:lvlText w:val="%1%2.%3.%4.%5.%6　"/>
      <w:lvlJc w:val="left"/>
      <w:pPr>
        <w:ind w:left="0" w:firstLine="0"/>
      </w:pPr>
      <w:rPr>
        <w:rFonts w:hint="eastAsia" w:ascii="黑体" w:hAnsi="Times New Roman" w:eastAsia="黑体"/>
        <w:b w:val="0"/>
        <w:i w:val="0"/>
        <w:sz w:val="21"/>
      </w:rPr>
    </w:lvl>
    <w:lvl w:ilvl="6" w:tentative="0">
      <w:start w:val="1"/>
      <w:numFmt w:val="decimal"/>
      <w:pStyle w:val="33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2BF5A80"/>
    <w:multiLevelType w:val="multilevel"/>
    <w:tmpl w:val="72BF5A80"/>
    <w:lvl w:ilvl="0" w:tentative="0">
      <w:start w:val="1"/>
      <w:numFmt w:val="bullet"/>
      <w:pStyle w:val="341"/>
      <w:lvlText w:val=""/>
      <w:lvlJc w:val="left"/>
      <w:pPr>
        <w:tabs>
          <w:tab w:val="left" w:pos="930"/>
        </w:tabs>
        <w:ind w:left="930" w:hanging="420"/>
      </w:pPr>
      <w:rPr>
        <w:rFonts w:hint="default" w:ascii="Wingdings" w:hAnsi="Wingdings"/>
      </w:rPr>
    </w:lvl>
    <w:lvl w:ilvl="1" w:tentative="0">
      <w:start w:val="1"/>
      <w:numFmt w:val="bullet"/>
      <w:lvlText w:val=""/>
      <w:lvlJc w:val="left"/>
      <w:pPr>
        <w:tabs>
          <w:tab w:val="left" w:pos="785"/>
        </w:tabs>
        <w:ind w:left="785" w:hanging="420"/>
      </w:pPr>
      <w:rPr>
        <w:rFonts w:hint="default" w:ascii="Wingdings" w:hAnsi="Wingdings"/>
      </w:rPr>
    </w:lvl>
    <w:lvl w:ilvl="2" w:tentative="0">
      <w:start w:val="1"/>
      <w:numFmt w:val="bullet"/>
      <w:lvlText w:val=""/>
      <w:lvlJc w:val="left"/>
      <w:pPr>
        <w:tabs>
          <w:tab w:val="left" w:pos="1205"/>
        </w:tabs>
        <w:ind w:left="1205" w:hanging="420"/>
      </w:pPr>
      <w:rPr>
        <w:rFonts w:hint="default" w:ascii="Wingdings" w:hAnsi="Wingdings"/>
      </w:rPr>
    </w:lvl>
    <w:lvl w:ilvl="3" w:tentative="0">
      <w:start w:val="1"/>
      <w:numFmt w:val="bullet"/>
      <w:lvlText w:val=""/>
      <w:lvlJc w:val="left"/>
      <w:pPr>
        <w:tabs>
          <w:tab w:val="left" w:pos="1625"/>
        </w:tabs>
        <w:ind w:left="1625" w:hanging="420"/>
      </w:pPr>
      <w:rPr>
        <w:rFonts w:hint="default" w:ascii="Wingdings" w:hAnsi="Wingdings"/>
      </w:rPr>
    </w:lvl>
    <w:lvl w:ilvl="4" w:tentative="0">
      <w:start w:val="1"/>
      <w:numFmt w:val="bullet"/>
      <w:lvlText w:val=""/>
      <w:lvlJc w:val="left"/>
      <w:pPr>
        <w:tabs>
          <w:tab w:val="left" w:pos="2045"/>
        </w:tabs>
        <w:ind w:left="2045" w:hanging="420"/>
      </w:pPr>
      <w:rPr>
        <w:rFonts w:hint="default" w:ascii="Wingdings" w:hAnsi="Wingdings"/>
      </w:rPr>
    </w:lvl>
    <w:lvl w:ilvl="5" w:tentative="0">
      <w:start w:val="1"/>
      <w:numFmt w:val="bullet"/>
      <w:lvlText w:val=""/>
      <w:lvlJc w:val="left"/>
      <w:pPr>
        <w:tabs>
          <w:tab w:val="left" w:pos="2465"/>
        </w:tabs>
        <w:ind w:left="2465" w:hanging="420"/>
      </w:pPr>
      <w:rPr>
        <w:rFonts w:hint="default" w:ascii="Wingdings" w:hAnsi="Wingdings"/>
      </w:rPr>
    </w:lvl>
    <w:lvl w:ilvl="6" w:tentative="0">
      <w:start w:val="1"/>
      <w:numFmt w:val="bullet"/>
      <w:lvlText w:val=""/>
      <w:lvlJc w:val="left"/>
      <w:pPr>
        <w:tabs>
          <w:tab w:val="left" w:pos="2885"/>
        </w:tabs>
        <w:ind w:left="2885" w:hanging="420"/>
      </w:pPr>
      <w:rPr>
        <w:rFonts w:hint="default" w:ascii="Wingdings" w:hAnsi="Wingdings"/>
      </w:rPr>
    </w:lvl>
    <w:lvl w:ilvl="7" w:tentative="0">
      <w:start w:val="1"/>
      <w:numFmt w:val="bullet"/>
      <w:lvlText w:val=""/>
      <w:lvlJc w:val="left"/>
      <w:pPr>
        <w:tabs>
          <w:tab w:val="left" w:pos="3305"/>
        </w:tabs>
        <w:ind w:left="3305" w:hanging="420"/>
      </w:pPr>
      <w:rPr>
        <w:rFonts w:hint="default" w:ascii="Wingdings" w:hAnsi="Wingdings"/>
      </w:rPr>
    </w:lvl>
    <w:lvl w:ilvl="8" w:tentative="0">
      <w:start w:val="1"/>
      <w:numFmt w:val="bullet"/>
      <w:lvlText w:val=""/>
      <w:lvlJc w:val="left"/>
      <w:pPr>
        <w:tabs>
          <w:tab w:val="left" w:pos="3725"/>
        </w:tabs>
        <w:ind w:left="3725" w:hanging="420"/>
      </w:pPr>
      <w:rPr>
        <w:rFonts w:hint="default" w:ascii="Wingdings" w:hAnsi="Wingdings"/>
      </w:rPr>
    </w:lvl>
  </w:abstractNum>
  <w:abstractNum w:abstractNumId="10">
    <w:nsid w:val="78940AB4"/>
    <w:multiLevelType w:val="multilevel"/>
    <w:tmpl w:val="78940AB4"/>
    <w:lvl w:ilvl="0" w:tentative="0">
      <w:start w:val="1"/>
      <w:numFmt w:val="decimal"/>
      <w:pStyle w:val="337"/>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1440"/>
        </w:tabs>
        <w:ind w:left="1440" w:hanging="720"/>
      </w:pPr>
      <w:rPr>
        <w:rFonts w:ascii="Times New Roman" w:hAnsi="Times New Roman" w:cs="Times New Roman"/>
        <w:b w:val="0"/>
        <w:bCs w:val="0"/>
        <w:i w:val="0"/>
        <w:iCs w:val="0"/>
        <w:caps w:val="0"/>
        <w:smallCaps w:val="0"/>
        <w:strike w:val="0"/>
        <w:dstrike w:val="0"/>
        <w:outline w:val="0"/>
        <w:shadow w:val="0"/>
        <w:snapToGrid w:val="0"/>
        <w:color w:val="000000"/>
        <w:spacing w:val="0"/>
        <w:w w:val="0"/>
        <w:kern w:val="0"/>
        <w:position w:val="0"/>
        <w:sz w:val="28"/>
        <w:szCs w:val="28"/>
        <w:u w:val="none"/>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2"/>
  </w:num>
  <w:num w:numId="3">
    <w:abstractNumId w:val="3"/>
  </w:num>
  <w:num w:numId="4">
    <w:abstractNumId w:val="7"/>
  </w:num>
  <w:num w:numId="5">
    <w:abstractNumId w:val="0"/>
  </w:num>
  <w:num w:numId="6">
    <w:abstractNumId w:val="5"/>
  </w:num>
  <w:num w:numId="7">
    <w:abstractNumId w:val="8"/>
  </w:num>
  <w:num w:numId="8">
    <w:abstractNumId w:val="10"/>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0"/>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MmI2YTg2ODcyNWI0M2M3YzFlYzEwZjRmOWNhYzUifQ=="/>
  </w:docVars>
  <w:rsids>
    <w:rsidRoot w:val="00172A27"/>
    <w:rsid w:val="00002995"/>
    <w:rsid w:val="00002D2A"/>
    <w:rsid w:val="000036B0"/>
    <w:rsid w:val="00005DE1"/>
    <w:rsid w:val="000061F2"/>
    <w:rsid w:val="000110BE"/>
    <w:rsid w:val="00012589"/>
    <w:rsid w:val="00012C74"/>
    <w:rsid w:val="000167FC"/>
    <w:rsid w:val="00024601"/>
    <w:rsid w:val="00024CD9"/>
    <w:rsid w:val="00025893"/>
    <w:rsid w:val="000271FE"/>
    <w:rsid w:val="00027A61"/>
    <w:rsid w:val="00032AEF"/>
    <w:rsid w:val="00034ECA"/>
    <w:rsid w:val="00036479"/>
    <w:rsid w:val="0003785F"/>
    <w:rsid w:val="00042E5B"/>
    <w:rsid w:val="00045E6F"/>
    <w:rsid w:val="0004601D"/>
    <w:rsid w:val="000501FF"/>
    <w:rsid w:val="0005108C"/>
    <w:rsid w:val="00052E8B"/>
    <w:rsid w:val="00054ED2"/>
    <w:rsid w:val="00054FA2"/>
    <w:rsid w:val="000602FA"/>
    <w:rsid w:val="00062B1F"/>
    <w:rsid w:val="000674F7"/>
    <w:rsid w:val="00075C36"/>
    <w:rsid w:val="000805F1"/>
    <w:rsid w:val="00081413"/>
    <w:rsid w:val="0008321D"/>
    <w:rsid w:val="000868B3"/>
    <w:rsid w:val="0009076F"/>
    <w:rsid w:val="00091801"/>
    <w:rsid w:val="00095AB7"/>
    <w:rsid w:val="00095BB3"/>
    <w:rsid w:val="00097C01"/>
    <w:rsid w:val="000A05B5"/>
    <w:rsid w:val="000A23A4"/>
    <w:rsid w:val="000A28C8"/>
    <w:rsid w:val="000A4004"/>
    <w:rsid w:val="000B0020"/>
    <w:rsid w:val="000B10C1"/>
    <w:rsid w:val="000B2755"/>
    <w:rsid w:val="000C64D9"/>
    <w:rsid w:val="000D1209"/>
    <w:rsid w:val="000D1EC8"/>
    <w:rsid w:val="000D2334"/>
    <w:rsid w:val="000D2960"/>
    <w:rsid w:val="000D3108"/>
    <w:rsid w:val="000D5D37"/>
    <w:rsid w:val="000E047C"/>
    <w:rsid w:val="000E1CF6"/>
    <w:rsid w:val="000E21BB"/>
    <w:rsid w:val="000E2D37"/>
    <w:rsid w:val="000E5439"/>
    <w:rsid w:val="000E581B"/>
    <w:rsid w:val="000E6113"/>
    <w:rsid w:val="000E72AA"/>
    <w:rsid w:val="000F3318"/>
    <w:rsid w:val="000F5EC3"/>
    <w:rsid w:val="000F60D6"/>
    <w:rsid w:val="000F7770"/>
    <w:rsid w:val="00100D98"/>
    <w:rsid w:val="00102A5F"/>
    <w:rsid w:val="00104A06"/>
    <w:rsid w:val="00106109"/>
    <w:rsid w:val="00110B1C"/>
    <w:rsid w:val="00112BD9"/>
    <w:rsid w:val="00117D59"/>
    <w:rsid w:val="0012484E"/>
    <w:rsid w:val="001265CC"/>
    <w:rsid w:val="00127A2D"/>
    <w:rsid w:val="00131EF9"/>
    <w:rsid w:val="001368D4"/>
    <w:rsid w:val="0014117C"/>
    <w:rsid w:val="00141C8E"/>
    <w:rsid w:val="00141EB6"/>
    <w:rsid w:val="00143229"/>
    <w:rsid w:val="00145147"/>
    <w:rsid w:val="00147401"/>
    <w:rsid w:val="00151AD1"/>
    <w:rsid w:val="00166B7A"/>
    <w:rsid w:val="00171A2D"/>
    <w:rsid w:val="00171C07"/>
    <w:rsid w:val="0017553A"/>
    <w:rsid w:val="00181782"/>
    <w:rsid w:val="00185A80"/>
    <w:rsid w:val="0018612E"/>
    <w:rsid w:val="00191799"/>
    <w:rsid w:val="0019179B"/>
    <w:rsid w:val="00195B6C"/>
    <w:rsid w:val="00197B34"/>
    <w:rsid w:val="001A01FD"/>
    <w:rsid w:val="001A172A"/>
    <w:rsid w:val="001A17EE"/>
    <w:rsid w:val="001A3935"/>
    <w:rsid w:val="001A5D9E"/>
    <w:rsid w:val="001B0B75"/>
    <w:rsid w:val="001B1BB2"/>
    <w:rsid w:val="001B62A4"/>
    <w:rsid w:val="001C298D"/>
    <w:rsid w:val="001C2F2B"/>
    <w:rsid w:val="001C3356"/>
    <w:rsid w:val="001C47C2"/>
    <w:rsid w:val="001C55F3"/>
    <w:rsid w:val="001C7FC4"/>
    <w:rsid w:val="001D19B3"/>
    <w:rsid w:val="001D6E25"/>
    <w:rsid w:val="001D73D4"/>
    <w:rsid w:val="001D7E40"/>
    <w:rsid w:val="001E423A"/>
    <w:rsid w:val="002000D4"/>
    <w:rsid w:val="0020248A"/>
    <w:rsid w:val="00202F0E"/>
    <w:rsid w:val="00205BCA"/>
    <w:rsid w:val="00207640"/>
    <w:rsid w:val="00207AA8"/>
    <w:rsid w:val="00215A6D"/>
    <w:rsid w:val="00222345"/>
    <w:rsid w:val="002224C7"/>
    <w:rsid w:val="0022412A"/>
    <w:rsid w:val="00224A85"/>
    <w:rsid w:val="00225D2F"/>
    <w:rsid w:val="0022726E"/>
    <w:rsid w:val="00231831"/>
    <w:rsid w:val="002348E8"/>
    <w:rsid w:val="002364BE"/>
    <w:rsid w:val="00242576"/>
    <w:rsid w:val="00242D72"/>
    <w:rsid w:val="0024555B"/>
    <w:rsid w:val="00250D3D"/>
    <w:rsid w:val="00251D0E"/>
    <w:rsid w:val="00257F0C"/>
    <w:rsid w:val="0026187C"/>
    <w:rsid w:val="002624C8"/>
    <w:rsid w:val="00266AC2"/>
    <w:rsid w:val="00270639"/>
    <w:rsid w:val="00274148"/>
    <w:rsid w:val="00277997"/>
    <w:rsid w:val="00280F9A"/>
    <w:rsid w:val="002828C3"/>
    <w:rsid w:val="002829E7"/>
    <w:rsid w:val="00285777"/>
    <w:rsid w:val="002920F3"/>
    <w:rsid w:val="002954A3"/>
    <w:rsid w:val="00296DF0"/>
    <w:rsid w:val="00297430"/>
    <w:rsid w:val="002A5E8A"/>
    <w:rsid w:val="002A7DF8"/>
    <w:rsid w:val="002A7EA3"/>
    <w:rsid w:val="002B05D6"/>
    <w:rsid w:val="002B19F3"/>
    <w:rsid w:val="002B3EBB"/>
    <w:rsid w:val="002B5D28"/>
    <w:rsid w:val="002B7DF9"/>
    <w:rsid w:val="002C05B4"/>
    <w:rsid w:val="002C204B"/>
    <w:rsid w:val="002C21EF"/>
    <w:rsid w:val="002C4374"/>
    <w:rsid w:val="002C5273"/>
    <w:rsid w:val="002D2F8D"/>
    <w:rsid w:val="002D67EB"/>
    <w:rsid w:val="002D716E"/>
    <w:rsid w:val="002E10F7"/>
    <w:rsid w:val="002E1608"/>
    <w:rsid w:val="002E1FD2"/>
    <w:rsid w:val="002E3BF2"/>
    <w:rsid w:val="0030081D"/>
    <w:rsid w:val="00302460"/>
    <w:rsid w:val="00304AD8"/>
    <w:rsid w:val="0030558A"/>
    <w:rsid w:val="00305F00"/>
    <w:rsid w:val="00307039"/>
    <w:rsid w:val="003102D2"/>
    <w:rsid w:val="00317373"/>
    <w:rsid w:val="00317559"/>
    <w:rsid w:val="003203E4"/>
    <w:rsid w:val="00324D98"/>
    <w:rsid w:val="00325F18"/>
    <w:rsid w:val="0032651D"/>
    <w:rsid w:val="00327950"/>
    <w:rsid w:val="003279D0"/>
    <w:rsid w:val="003407B8"/>
    <w:rsid w:val="00342530"/>
    <w:rsid w:val="00344726"/>
    <w:rsid w:val="00345CCE"/>
    <w:rsid w:val="00350A5D"/>
    <w:rsid w:val="00351D58"/>
    <w:rsid w:val="003525EF"/>
    <w:rsid w:val="003528CA"/>
    <w:rsid w:val="003532B8"/>
    <w:rsid w:val="00353EBC"/>
    <w:rsid w:val="00354882"/>
    <w:rsid w:val="0036158B"/>
    <w:rsid w:val="003629ED"/>
    <w:rsid w:val="00363894"/>
    <w:rsid w:val="00363A1C"/>
    <w:rsid w:val="00365635"/>
    <w:rsid w:val="00376020"/>
    <w:rsid w:val="00376083"/>
    <w:rsid w:val="003768CB"/>
    <w:rsid w:val="003777BC"/>
    <w:rsid w:val="00391B6A"/>
    <w:rsid w:val="00391E2D"/>
    <w:rsid w:val="003967BC"/>
    <w:rsid w:val="003A447B"/>
    <w:rsid w:val="003A649F"/>
    <w:rsid w:val="003A64EA"/>
    <w:rsid w:val="003B38B6"/>
    <w:rsid w:val="003B4674"/>
    <w:rsid w:val="003C2751"/>
    <w:rsid w:val="003C2C31"/>
    <w:rsid w:val="003C2F6B"/>
    <w:rsid w:val="003C430C"/>
    <w:rsid w:val="003C5C12"/>
    <w:rsid w:val="003C615E"/>
    <w:rsid w:val="003C72B8"/>
    <w:rsid w:val="003D17DB"/>
    <w:rsid w:val="003E0713"/>
    <w:rsid w:val="003E1D9D"/>
    <w:rsid w:val="003E237B"/>
    <w:rsid w:val="003E2DA4"/>
    <w:rsid w:val="003E62D1"/>
    <w:rsid w:val="003F4049"/>
    <w:rsid w:val="003F43AA"/>
    <w:rsid w:val="003F4649"/>
    <w:rsid w:val="003F517D"/>
    <w:rsid w:val="00402239"/>
    <w:rsid w:val="00403410"/>
    <w:rsid w:val="004132CA"/>
    <w:rsid w:val="00413DAC"/>
    <w:rsid w:val="0041540D"/>
    <w:rsid w:val="0041552F"/>
    <w:rsid w:val="004159C8"/>
    <w:rsid w:val="00420C5C"/>
    <w:rsid w:val="00426600"/>
    <w:rsid w:val="00431F15"/>
    <w:rsid w:val="004322A3"/>
    <w:rsid w:val="0043565B"/>
    <w:rsid w:val="004362A8"/>
    <w:rsid w:val="00437087"/>
    <w:rsid w:val="004409E1"/>
    <w:rsid w:val="00440DF3"/>
    <w:rsid w:val="00440E64"/>
    <w:rsid w:val="00443146"/>
    <w:rsid w:val="004432B2"/>
    <w:rsid w:val="00444A6F"/>
    <w:rsid w:val="00445BAD"/>
    <w:rsid w:val="00445F7F"/>
    <w:rsid w:val="00450406"/>
    <w:rsid w:val="0045040B"/>
    <w:rsid w:val="0045124C"/>
    <w:rsid w:val="004522CF"/>
    <w:rsid w:val="00452EED"/>
    <w:rsid w:val="00453A51"/>
    <w:rsid w:val="00454E45"/>
    <w:rsid w:val="004562C2"/>
    <w:rsid w:val="004576FC"/>
    <w:rsid w:val="00461C3A"/>
    <w:rsid w:val="00465500"/>
    <w:rsid w:val="00477603"/>
    <w:rsid w:val="00481FEC"/>
    <w:rsid w:val="004825F8"/>
    <w:rsid w:val="00483E41"/>
    <w:rsid w:val="00484F91"/>
    <w:rsid w:val="00487EFB"/>
    <w:rsid w:val="00490EA1"/>
    <w:rsid w:val="00490FAC"/>
    <w:rsid w:val="00492ADF"/>
    <w:rsid w:val="00493A6A"/>
    <w:rsid w:val="00495503"/>
    <w:rsid w:val="00495A45"/>
    <w:rsid w:val="00497753"/>
    <w:rsid w:val="004A2127"/>
    <w:rsid w:val="004A3E04"/>
    <w:rsid w:val="004A401A"/>
    <w:rsid w:val="004A4093"/>
    <w:rsid w:val="004B2651"/>
    <w:rsid w:val="004B5677"/>
    <w:rsid w:val="004B6536"/>
    <w:rsid w:val="004C165C"/>
    <w:rsid w:val="004C20E6"/>
    <w:rsid w:val="004C338A"/>
    <w:rsid w:val="004C3525"/>
    <w:rsid w:val="004C3BA4"/>
    <w:rsid w:val="004C46EA"/>
    <w:rsid w:val="004C4909"/>
    <w:rsid w:val="004C5897"/>
    <w:rsid w:val="004C5F09"/>
    <w:rsid w:val="004C626E"/>
    <w:rsid w:val="004D1803"/>
    <w:rsid w:val="004D21E7"/>
    <w:rsid w:val="004D258B"/>
    <w:rsid w:val="004E03B3"/>
    <w:rsid w:val="004E18A4"/>
    <w:rsid w:val="004E474E"/>
    <w:rsid w:val="004E522E"/>
    <w:rsid w:val="004E5E51"/>
    <w:rsid w:val="004F174F"/>
    <w:rsid w:val="004F3D8B"/>
    <w:rsid w:val="004F7BA6"/>
    <w:rsid w:val="00500678"/>
    <w:rsid w:val="0050154B"/>
    <w:rsid w:val="00501733"/>
    <w:rsid w:val="005029BD"/>
    <w:rsid w:val="0050341D"/>
    <w:rsid w:val="00504D30"/>
    <w:rsid w:val="00505F51"/>
    <w:rsid w:val="0050622B"/>
    <w:rsid w:val="0051108A"/>
    <w:rsid w:val="005148E4"/>
    <w:rsid w:val="00521551"/>
    <w:rsid w:val="00522CAC"/>
    <w:rsid w:val="00523B72"/>
    <w:rsid w:val="005250CF"/>
    <w:rsid w:val="005261D2"/>
    <w:rsid w:val="005273D0"/>
    <w:rsid w:val="00527F1E"/>
    <w:rsid w:val="005304FD"/>
    <w:rsid w:val="00531C4A"/>
    <w:rsid w:val="00534268"/>
    <w:rsid w:val="005362CB"/>
    <w:rsid w:val="005417EB"/>
    <w:rsid w:val="00541E4A"/>
    <w:rsid w:val="005447E5"/>
    <w:rsid w:val="00545A8F"/>
    <w:rsid w:val="00547FC4"/>
    <w:rsid w:val="00551D28"/>
    <w:rsid w:val="00555EBF"/>
    <w:rsid w:val="0055670B"/>
    <w:rsid w:val="00556F6A"/>
    <w:rsid w:val="005603A8"/>
    <w:rsid w:val="00563E38"/>
    <w:rsid w:val="005650EF"/>
    <w:rsid w:val="00566B87"/>
    <w:rsid w:val="00570376"/>
    <w:rsid w:val="005707E4"/>
    <w:rsid w:val="00570F91"/>
    <w:rsid w:val="0057390B"/>
    <w:rsid w:val="00574D23"/>
    <w:rsid w:val="005773F8"/>
    <w:rsid w:val="005807FF"/>
    <w:rsid w:val="005823A8"/>
    <w:rsid w:val="00586281"/>
    <w:rsid w:val="00594F66"/>
    <w:rsid w:val="00596396"/>
    <w:rsid w:val="005A05AF"/>
    <w:rsid w:val="005A33AB"/>
    <w:rsid w:val="005A436A"/>
    <w:rsid w:val="005A6378"/>
    <w:rsid w:val="005A6D09"/>
    <w:rsid w:val="005A73F7"/>
    <w:rsid w:val="005B10A2"/>
    <w:rsid w:val="005C09D8"/>
    <w:rsid w:val="005C4B19"/>
    <w:rsid w:val="005D03C9"/>
    <w:rsid w:val="005D0B55"/>
    <w:rsid w:val="005D0E55"/>
    <w:rsid w:val="005D174F"/>
    <w:rsid w:val="005D747A"/>
    <w:rsid w:val="005E5550"/>
    <w:rsid w:val="005E5F92"/>
    <w:rsid w:val="005E77C4"/>
    <w:rsid w:val="005F06E4"/>
    <w:rsid w:val="005F1116"/>
    <w:rsid w:val="005F1B55"/>
    <w:rsid w:val="005F2E28"/>
    <w:rsid w:val="005F4BBD"/>
    <w:rsid w:val="006008C3"/>
    <w:rsid w:val="006008D4"/>
    <w:rsid w:val="0060161D"/>
    <w:rsid w:val="00602D5C"/>
    <w:rsid w:val="00603723"/>
    <w:rsid w:val="00603E45"/>
    <w:rsid w:val="006044AD"/>
    <w:rsid w:val="0060506F"/>
    <w:rsid w:val="0060526C"/>
    <w:rsid w:val="00610045"/>
    <w:rsid w:val="00611DA1"/>
    <w:rsid w:val="00614602"/>
    <w:rsid w:val="0061551C"/>
    <w:rsid w:val="00615E21"/>
    <w:rsid w:val="00616DC9"/>
    <w:rsid w:val="00620975"/>
    <w:rsid w:val="006215C7"/>
    <w:rsid w:val="00627234"/>
    <w:rsid w:val="00627D32"/>
    <w:rsid w:val="006349CE"/>
    <w:rsid w:val="0063791B"/>
    <w:rsid w:val="006403F4"/>
    <w:rsid w:val="006422B4"/>
    <w:rsid w:val="0064331E"/>
    <w:rsid w:val="006433B9"/>
    <w:rsid w:val="00644E1F"/>
    <w:rsid w:val="0065107D"/>
    <w:rsid w:val="006521C1"/>
    <w:rsid w:val="006560E7"/>
    <w:rsid w:val="00665E80"/>
    <w:rsid w:val="00666539"/>
    <w:rsid w:val="00667A59"/>
    <w:rsid w:val="006706C2"/>
    <w:rsid w:val="00670D50"/>
    <w:rsid w:val="006717D8"/>
    <w:rsid w:val="00671962"/>
    <w:rsid w:val="00671DDA"/>
    <w:rsid w:val="006734B1"/>
    <w:rsid w:val="006737A5"/>
    <w:rsid w:val="00673F1E"/>
    <w:rsid w:val="006745F7"/>
    <w:rsid w:val="00675A75"/>
    <w:rsid w:val="0068051A"/>
    <w:rsid w:val="00686417"/>
    <w:rsid w:val="00694F42"/>
    <w:rsid w:val="0069544E"/>
    <w:rsid w:val="006962FF"/>
    <w:rsid w:val="006972A9"/>
    <w:rsid w:val="006A1749"/>
    <w:rsid w:val="006A2C52"/>
    <w:rsid w:val="006A5234"/>
    <w:rsid w:val="006A5DED"/>
    <w:rsid w:val="006A698A"/>
    <w:rsid w:val="006A6F9D"/>
    <w:rsid w:val="006B0A80"/>
    <w:rsid w:val="006B4911"/>
    <w:rsid w:val="006B520A"/>
    <w:rsid w:val="006B6088"/>
    <w:rsid w:val="006B6CFC"/>
    <w:rsid w:val="006C010F"/>
    <w:rsid w:val="006C1434"/>
    <w:rsid w:val="006C2EE5"/>
    <w:rsid w:val="006C35A3"/>
    <w:rsid w:val="006C3CC2"/>
    <w:rsid w:val="006C5EF9"/>
    <w:rsid w:val="006C78FF"/>
    <w:rsid w:val="006D0105"/>
    <w:rsid w:val="006D101B"/>
    <w:rsid w:val="006D143A"/>
    <w:rsid w:val="006D644B"/>
    <w:rsid w:val="006D6A81"/>
    <w:rsid w:val="006D7E64"/>
    <w:rsid w:val="006E10C4"/>
    <w:rsid w:val="006E221D"/>
    <w:rsid w:val="006E5290"/>
    <w:rsid w:val="006E55CF"/>
    <w:rsid w:val="006F0F62"/>
    <w:rsid w:val="006F46F3"/>
    <w:rsid w:val="006F52A3"/>
    <w:rsid w:val="006F5A71"/>
    <w:rsid w:val="006F6100"/>
    <w:rsid w:val="00702427"/>
    <w:rsid w:val="007027C1"/>
    <w:rsid w:val="00702EE2"/>
    <w:rsid w:val="007037E3"/>
    <w:rsid w:val="0070474F"/>
    <w:rsid w:val="00711803"/>
    <w:rsid w:val="00711FF8"/>
    <w:rsid w:val="0071309F"/>
    <w:rsid w:val="00713795"/>
    <w:rsid w:val="0071416F"/>
    <w:rsid w:val="0072515F"/>
    <w:rsid w:val="0072537A"/>
    <w:rsid w:val="0072623F"/>
    <w:rsid w:val="00726C0C"/>
    <w:rsid w:val="00735682"/>
    <w:rsid w:val="0073591C"/>
    <w:rsid w:val="007364CF"/>
    <w:rsid w:val="00740DDA"/>
    <w:rsid w:val="007444AC"/>
    <w:rsid w:val="00744DA9"/>
    <w:rsid w:val="007525CF"/>
    <w:rsid w:val="0075333B"/>
    <w:rsid w:val="007539A8"/>
    <w:rsid w:val="00755F11"/>
    <w:rsid w:val="00756696"/>
    <w:rsid w:val="007571EB"/>
    <w:rsid w:val="007634EB"/>
    <w:rsid w:val="007646D4"/>
    <w:rsid w:val="007708C4"/>
    <w:rsid w:val="00770D3F"/>
    <w:rsid w:val="007712D0"/>
    <w:rsid w:val="007715D9"/>
    <w:rsid w:val="007722A3"/>
    <w:rsid w:val="0077320A"/>
    <w:rsid w:val="00776566"/>
    <w:rsid w:val="00776C40"/>
    <w:rsid w:val="007805B8"/>
    <w:rsid w:val="00781D9E"/>
    <w:rsid w:val="007826AD"/>
    <w:rsid w:val="00792FD7"/>
    <w:rsid w:val="00796F97"/>
    <w:rsid w:val="007A1E89"/>
    <w:rsid w:val="007A45D4"/>
    <w:rsid w:val="007A5AA7"/>
    <w:rsid w:val="007A7A79"/>
    <w:rsid w:val="007B1D0E"/>
    <w:rsid w:val="007B1E2E"/>
    <w:rsid w:val="007B2A2E"/>
    <w:rsid w:val="007B36D8"/>
    <w:rsid w:val="007C0329"/>
    <w:rsid w:val="007E0576"/>
    <w:rsid w:val="007E373E"/>
    <w:rsid w:val="007E3A08"/>
    <w:rsid w:val="007E5ABF"/>
    <w:rsid w:val="007F056A"/>
    <w:rsid w:val="007F10B8"/>
    <w:rsid w:val="007F2F6E"/>
    <w:rsid w:val="007F37DA"/>
    <w:rsid w:val="007F4F24"/>
    <w:rsid w:val="00800B46"/>
    <w:rsid w:val="00803DE5"/>
    <w:rsid w:val="00810A6C"/>
    <w:rsid w:val="00810DA2"/>
    <w:rsid w:val="0081272C"/>
    <w:rsid w:val="00815810"/>
    <w:rsid w:val="00816D04"/>
    <w:rsid w:val="00817E4E"/>
    <w:rsid w:val="00821A94"/>
    <w:rsid w:val="00824F40"/>
    <w:rsid w:val="00826C54"/>
    <w:rsid w:val="00826DBD"/>
    <w:rsid w:val="0082715D"/>
    <w:rsid w:val="00831A54"/>
    <w:rsid w:val="00835711"/>
    <w:rsid w:val="00840C56"/>
    <w:rsid w:val="0084211C"/>
    <w:rsid w:val="00842E1F"/>
    <w:rsid w:val="0084378B"/>
    <w:rsid w:val="00843ADB"/>
    <w:rsid w:val="00845764"/>
    <w:rsid w:val="00847654"/>
    <w:rsid w:val="0084777F"/>
    <w:rsid w:val="00854A44"/>
    <w:rsid w:val="00862A06"/>
    <w:rsid w:val="008635B6"/>
    <w:rsid w:val="00863E86"/>
    <w:rsid w:val="008714A3"/>
    <w:rsid w:val="008717FA"/>
    <w:rsid w:val="00873661"/>
    <w:rsid w:val="0087697C"/>
    <w:rsid w:val="0087711B"/>
    <w:rsid w:val="0088274E"/>
    <w:rsid w:val="00882A39"/>
    <w:rsid w:val="00882A69"/>
    <w:rsid w:val="008859F3"/>
    <w:rsid w:val="008929FA"/>
    <w:rsid w:val="0089338E"/>
    <w:rsid w:val="00893FFD"/>
    <w:rsid w:val="0089468A"/>
    <w:rsid w:val="00894864"/>
    <w:rsid w:val="00896477"/>
    <w:rsid w:val="008968F1"/>
    <w:rsid w:val="0089734D"/>
    <w:rsid w:val="008A6E19"/>
    <w:rsid w:val="008A7074"/>
    <w:rsid w:val="008B4846"/>
    <w:rsid w:val="008B4D5A"/>
    <w:rsid w:val="008B71EE"/>
    <w:rsid w:val="008B75C1"/>
    <w:rsid w:val="008B79F9"/>
    <w:rsid w:val="008C01C3"/>
    <w:rsid w:val="008C4799"/>
    <w:rsid w:val="008C630F"/>
    <w:rsid w:val="008C6ECD"/>
    <w:rsid w:val="008D2A69"/>
    <w:rsid w:val="008D2E75"/>
    <w:rsid w:val="008D5B67"/>
    <w:rsid w:val="008D6E69"/>
    <w:rsid w:val="008E3459"/>
    <w:rsid w:val="008E5294"/>
    <w:rsid w:val="008E7A68"/>
    <w:rsid w:val="008F077E"/>
    <w:rsid w:val="008F7B6B"/>
    <w:rsid w:val="00900BCA"/>
    <w:rsid w:val="00902D88"/>
    <w:rsid w:val="00903365"/>
    <w:rsid w:val="00903B1A"/>
    <w:rsid w:val="00904C41"/>
    <w:rsid w:val="00906C7D"/>
    <w:rsid w:val="009071C3"/>
    <w:rsid w:val="00907A04"/>
    <w:rsid w:val="00914CD5"/>
    <w:rsid w:val="00916CA1"/>
    <w:rsid w:val="00916F74"/>
    <w:rsid w:val="00923503"/>
    <w:rsid w:val="009277B4"/>
    <w:rsid w:val="00933F96"/>
    <w:rsid w:val="009342B6"/>
    <w:rsid w:val="00935180"/>
    <w:rsid w:val="00936833"/>
    <w:rsid w:val="009405CA"/>
    <w:rsid w:val="00943C18"/>
    <w:rsid w:val="009503E9"/>
    <w:rsid w:val="0095083C"/>
    <w:rsid w:val="00950CB0"/>
    <w:rsid w:val="009514A9"/>
    <w:rsid w:val="00952D16"/>
    <w:rsid w:val="00953CA0"/>
    <w:rsid w:val="00954AA4"/>
    <w:rsid w:val="00956A33"/>
    <w:rsid w:val="00956FDD"/>
    <w:rsid w:val="00960991"/>
    <w:rsid w:val="00964536"/>
    <w:rsid w:val="00964538"/>
    <w:rsid w:val="00967998"/>
    <w:rsid w:val="00976662"/>
    <w:rsid w:val="009853B9"/>
    <w:rsid w:val="00985B26"/>
    <w:rsid w:val="00986629"/>
    <w:rsid w:val="009905F8"/>
    <w:rsid w:val="00990ED1"/>
    <w:rsid w:val="00991502"/>
    <w:rsid w:val="0099188E"/>
    <w:rsid w:val="00991A30"/>
    <w:rsid w:val="0099266E"/>
    <w:rsid w:val="0099521C"/>
    <w:rsid w:val="009A686C"/>
    <w:rsid w:val="009A6B33"/>
    <w:rsid w:val="009A74A2"/>
    <w:rsid w:val="009A7C8F"/>
    <w:rsid w:val="009B0C3A"/>
    <w:rsid w:val="009B3411"/>
    <w:rsid w:val="009B4405"/>
    <w:rsid w:val="009B5238"/>
    <w:rsid w:val="009B5343"/>
    <w:rsid w:val="009B5F2D"/>
    <w:rsid w:val="009B7641"/>
    <w:rsid w:val="009B78F6"/>
    <w:rsid w:val="009C1C95"/>
    <w:rsid w:val="009C4C5B"/>
    <w:rsid w:val="009C688B"/>
    <w:rsid w:val="009C6B36"/>
    <w:rsid w:val="009C7762"/>
    <w:rsid w:val="009D0417"/>
    <w:rsid w:val="009D0609"/>
    <w:rsid w:val="009D1061"/>
    <w:rsid w:val="009D29D1"/>
    <w:rsid w:val="009E0B88"/>
    <w:rsid w:val="009E1A43"/>
    <w:rsid w:val="009E3D36"/>
    <w:rsid w:val="009E7872"/>
    <w:rsid w:val="009E7E93"/>
    <w:rsid w:val="009F2F42"/>
    <w:rsid w:val="009F4D6F"/>
    <w:rsid w:val="00A0031D"/>
    <w:rsid w:val="00A00A71"/>
    <w:rsid w:val="00A00C5E"/>
    <w:rsid w:val="00A03ABE"/>
    <w:rsid w:val="00A04FC1"/>
    <w:rsid w:val="00A056E6"/>
    <w:rsid w:val="00A067BC"/>
    <w:rsid w:val="00A06DDD"/>
    <w:rsid w:val="00A11E42"/>
    <w:rsid w:val="00A1399B"/>
    <w:rsid w:val="00A14D99"/>
    <w:rsid w:val="00A1711B"/>
    <w:rsid w:val="00A2161C"/>
    <w:rsid w:val="00A22097"/>
    <w:rsid w:val="00A22591"/>
    <w:rsid w:val="00A24C36"/>
    <w:rsid w:val="00A269DD"/>
    <w:rsid w:val="00A27DAB"/>
    <w:rsid w:val="00A31374"/>
    <w:rsid w:val="00A31A88"/>
    <w:rsid w:val="00A3223E"/>
    <w:rsid w:val="00A32315"/>
    <w:rsid w:val="00A3398F"/>
    <w:rsid w:val="00A4079B"/>
    <w:rsid w:val="00A53DAC"/>
    <w:rsid w:val="00A54AA2"/>
    <w:rsid w:val="00A54B9F"/>
    <w:rsid w:val="00A60B53"/>
    <w:rsid w:val="00A6429F"/>
    <w:rsid w:val="00A66430"/>
    <w:rsid w:val="00A73818"/>
    <w:rsid w:val="00A74338"/>
    <w:rsid w:val="00A76955"/>
    <w:rsid w:val="00A7755A"/>
    <w:rsid w:val="00A77A07"/>
    <w:rsid w:val="00A81B7A"/>
    <w:rsid w:val="00A822B7"/>
    <w:rsid w:val="00A85228"/>
    <w:rsid w:val="00A86646"/>
    <w:rsid w:val="00A91928"/>
    <w:rsid w:val="00A9626C"/>
    <w:rsid w:val="00AA0972"/>
    <w:rsid w:val="00AA09CF"/>
    <w:rsid w:val="00AA134C"/>
    <w:rsid w:val="00AA2D96"/>
    <w:rsid w:val="00AA39DC"/>
    <w:rsid w:val="00AB1010"/>
    <w:rsid w:val="00AB2508"/>
    <w:rsid w:val="00AB358D"/>
    <w:rsid w:val="00AB3F99"/>
    <w:rsid w:val="00AB4F64"/>
    <w:rsid w:val="00AB501E"/>
    <w:rsid w:val="00AB6CD0"/>
    <w:rsid w:val="00AC13A2"/>
    <w:rsid w:val="00AC1A48"/>
    <w:rsid w:val="00AC3C64"/>
    <w:rsid w:val="00AC6389"/>
    <w:rsid w:val="00AC7418"/>
    <w:rsid w:val="00AD09F4"/>
    <w:rsid w:val="00AD6AB9"/>
    <w:rsid w:val="00AE234C"/>
    <w:rsid w:val="00AE7AC7"/>
    <w:rsid w:val="00AF05ED"/>
    <w:rsid w:val="00AF0DBE"/>
    <w:rsid w:val="00AF1F02"/>
    <w:rsid w:val="00AF2DED"/>
    <w:rsid w:val="00AF3DF2"/>
    <w:rsid w:val="00AF6719"/>
    <w:rsid w:val="00AF7FA0"/>
    <w:rsid w:val="00B00145"/>
    <w:rsid w:val="00B013B6"/>
    <w:rsid w:val="00B04250"/>
    <w:rsid w:val="00B064AA"/>
    <w:rsid w:val="00B10CCA"/>
    <w:rsid w:val="00B127D2"/>
    <w:rsid w:val="00B1466A"/>
    <w:rsid w:val="00B1657D"/>
    <w:rsid w:val="00B16A48"/>
    <w:rsid w:val="00B16C74"/>
    <w:rsid w:val="00B21ED6"/>
    <w:rsid w:val="00B243CF"/>
    <w:rsid w:val="00B24872"/>
    <w:rsid w:val="00B251E3"/>
    <w:rsid w:val="00B25B45"/>
    <w:rsid w:val="00B327ED"/>
    <w:rsid w:val="00B34308"/>
    <w:rsid w:val="00B34D0E"/>
    <w:rsid w:val="00B363F6"/>
    <w:rsid w:val="00B41BD1"/>
    <w:rsid w:val="00B449DA"/>
    <w:rsid w:val="00B44EB5"/>
    <w:rsid w:val="00B46E67"/>
    <w:rsid w:val="00B4726E"/>
    <w:rsid w:val="00B56A78"/>
    <w:rsid w:val="00B63909"/>
    <w:rsid w:val="00B6727F"/>
    <w:rsid w:val="00B75C39"/>
    <w:rsid w:val="00B75CBA"/>
    <w:rsid w:val="00B76362"/>
    <w:rsid w:val="00B7658C"/>
    <w:rsid w:val="00B82E96"/>
    <w:rsid w:val="00B83307"/>
    <w:rsid w:val="00B8411F"/>
    <w:rsid w:val="00B86097"/>
    <w:rsid w:val="00B93405"/>
    <w:rsid w:val="00BA03C5"/>
    <w:rsid w:val="00BA20F5"/>
    <w:rsid w:val="00BA4397"/>
    <w:rsid w:val="00BB676F"/>
    <w:rsid w:val="00BB6ADC"/>
    <w:rsid w:val="00BC25F2"/>
    <w:rsid w:val="00BC542E"/>
    <w:rsid w:val="00BC78CC"/>
    <w:rsid w:val="00BD3143"/>
    <w:rsid w:val="00BD4284"/>
    <w:rsid w:val="00BD7D24"/>
    <w:rsid w:val="00BE07BC"/>
    <w:rsid w:val="00BE1EFE"/>
    <w:rsid w:val="00BE247A"/>
    <w:rsid w:val="00BE267E"/>
    <w:rsid w:val="00C03A17"/>
    <w:rsid w:val="00C04B53"/>
    <w:rsid w:val="00C0528C"/>
    <w:rsid w:val="00C05EF1"/>
    <w:rsid w:val="00C12501"/>
    <w:rsid w:val="00C13073"/>
    <w:rsid w:val="00C14DCF"/>
    <w:rsid w:val="00C155B6"/>
    <w:rsid w:val="00C17011"/>
    <w:rsid w:val="00C17035"/>
    <w:rsid w:val="00C22396"/>
    <w:rsid w:val="00C22BF3"/>
    <w:rsid w:val="00C24305"/>
    <w:rsid w:val="00C2460E"/>
    <w:rsid w:val="00C24791"/>
    <w:rsid w:val="00C26501"/>
    <w:rsid w:val="00C27C12"/>
    <w:rsid w:val="00C316B1"/>
    <w:rsid w:val="00C33540"/>
    <w:rsid w:val="00C3446E"/>
    <w:rsid w:val="00C347C1"/>
    <w:rsid w:val="00C350C3"/>
    <w:rsid w:val="00C35341"/>
    <w:rsid w:val="00C36BB0"/>
    <w:rsid w:val="00C4172A"/>
    <w:rsid w:val="00C429A9"/>
    <w:rsid w:val="00C42F9B"/>
    <w:rsid w:val="00C45601"/>
    <w:rsid w:val="00C45EE6"/>
    <w:rsid w:val="00C51791"/>
    <w:rsid w:val="00C53939"/>
    <w:rsid w:val="00C64B7A"/>
    <w:rsid w:val="00C656F9"/>
    <w:rsid w:val="00C657C0"/>
    <w:rsid w:val="00C66B77"/>
    <w:rsid w:val="00C71F0F"/>
    <w:rsid w:val="00C728C2"/>
    <w:rsid w:val="00C75D41"/>
    <w:rsid w:val="00C76877"/>
    <w:rsid w:val="00C77A16"/>
    <w:rsid w:val="00C8191A"/>
    <w:rsid w:val="00C835D2"/>
    <w:rsid w:val="00C83BD0"/>
    <w:rsid w:val="00C86F75"/>
    <w:rsid w:val="00C87F0F"/>
    <w:rsid w:val="00C9311B"/>
    <w:rsid w:val="00C9377F"/>
    <w:rsid w:val="00C96EB2"/>
    <w:rsid w:val="00C973FD"/>
    <w:rsid w:val="00C97CDD"/>
    <w:rsid w:val="00CA0550"/>
    <w:rsid w:val="00CA73ED"/>
    <w:rsid w:val="00CB0292"/>
    <w:rsid w:val="00CB07FE"/>
    <w:rsid w:val="00CB0D75"/>
    <w:rsid w:val="00CB423D"/>
    <w:rsid w:val="00CB5EA4"/>
    <w:rsid w:val="00CB755C"/>
    <w:rsid w:val="00CC5B99"/>
    <w:rsid w:val="00CD4C75"/>
    <w:rsid w:val="00CD6126"/>
    <w:rsid w:val="00CE2CCA"/>
    <w:rsid w:val="00CE4D27"/>
    <w:rsid w:val="00CE7B24"/>
    <w:rsid w:val="00CE7EE2"/>
    <w:rsid w:val="00CF4E47"/>
    <w:rsid w:val="00D0254B"/>
    <w:rsid w:val="00D03A46"/>
    <w:rsid w:val="00D04FAE"/>
    <w:rsid w:val="00D06FEF"/>
    <w:rsid w:val="00D178F8"/>
    <w:rsid w:val="00D17A46"/>
    <w:rsid w:val="00D214B4"/>
    <w:rsid w:val="00D22FFC"/>
    <w:rsid w:val="00D2328A"/>
    <w:rsid w:val="00D23422"/>
    <w:rsid w:val="00D25138"/>
    <w:rsid w:val="00D26E47"/>
    <w:rsid w:val="00D27112"/>
    <w:rsid w:val="00D27CD4"/>
    <w:rsid w:val="00D35C65"/>
    <w:rsid w:val="00D36C68"/>
    <w:rsid w:val="00D43062"/>
    <w:rsid w:val="00D4583F"/>
    <w:rsid w:val="00D45877"/>
    <w:rsid w:val="00D45BBC"/>
    <w:rsid w:val="00D45DA8"/>
    <w:rsid w:val="00D46152"/>
    <w:rsid w:val="00D506BC"/>
    <w:rsid w:val="00D525FF"/>
    <w:rsid w:val="00D548B7"/>
    <w:rsid w:val="00D60B46"/>
    <w:rsid w:val="00D645C5"/>
    <w:rsid w:val="00D65108"/>
    <w:rsid w:val="00D65EBC"/>
    <w:rsid w:val="00D66089"/>
    <w:rsid w:val="00D66F1D"/>
    <w:rsid w:val="00D67590"/>
    <w:rsid w:val="00D70218"/>
    <w:rsid w:val="00D7113A"/>
    <w:rsid w:val="00D7216F"/>
    <w:rsid w:val="00D72D14"/>
    <w:rsid w:val="00D73BA4"/>
    <w:rsid w:val="00D74042"/>
    <w:rsid w:val="00D74C54"/>
    <w:rsid w:val="00D75036"/>
    <w:rsid w:val="00D761AA"/>
    <w:rsid w:val="00D769C3"/>
    <w:rsid w:val="00D77AB9"/>
    <w:rsid w:val="00D800D1"/>
    <w:rsid w:val="00D8326F"/>
    <w:rsid w:val="00D83284"/>
    <w:rsid w:val="00D8421A"/>
    <w:rsid w:val="00D858B6"/>
    <w:rsid w:val="00DA47DE"/>
    <w:rsid w:val="00DA52CA"/>
    <w:rsid w:val="00DA5E85"/>
    <w:rsid w:val="00DA7B85"/>
    <w:rsid w:val="00DB45D0"/>
    <w:rsid w:val="00DB49F3"/>
    <w:rsid w:val="00DB4B11"/>
    <w:rsid w:val="00DB7507"/>
    <w:rsid w:val="00DC0E4F"/>
    <w:rsid w:val="00DC156F"/>
    <w:rsid w:val="00DC2498"/>
    <w:rsid w:val="00DC3D10"/>
    <w:rsid w:val="00DC468A"/>
    <w:rsid w:val="00DD1165"/>
    <w:rsid w:val="00DD3B1B"/>
    <w:rsid w:val="00DD4EFB"/>
    <w:rsid w:val="00DD5DE2"/>
    <w:rsid w:val="00DD5E48"/>
    <w:rsid w:val="00DD5E5D"/>
    <w:rsid w:val="00DD6538"/>
    <w:rsid w:val="00DD666A"/>
    <w:rsid w:val="00DD6E57"/>
    <w:rsid w:val="00DE0B05"/>
    <w:rsid w:val="00DE134F"/>
    <w:rsid w:val="00DE30E7"/>
    <w:rsid w:val="00DE3A3F"/>
    <w:rsid w:val="00DE78D4"/>
    <w:rsid w:val="00DF0854"/>
    <w:rsid w:val="00DF0A6A"/>
    <w:rsid w:val="00DF0AAE"/>
    <w:rsid w:val="00DF7ECF"/>
    <w:rsid w:val="00E00D34"/>
    <w:rsid w:val="00E05B7A"/>
    <w:rsid w:val="00E10DE3"/>
    <w:rsid w:val="00E117E4"/>
    <w:rsid w:val="00E132DD"/>
    <w:rsid w:val="00E15975"/>
    <w:rsid w:val="00E162AE"/>
    <w:rsid w:val="00E209F1"/>
    <w:rsid w:val="00E2198C"/>
    <w:rsid w:val="00E21F3B"/>
    <w:rsid w:val="00E240B7"/>
    <w:rsid w:val="00E250D9"/>
    <w:rsid w:val="00E25F15"/>
    <w:rsid w:val="00E308A7"/>
    <w:rsid w:val="00E34871"/>
    <w:rsid w:val="00E377CD"/>
    <w:rsid w:val="00E41A05"/>
    <w:rsid w:val="00E43EA5"/>
    <w:rsid w:val="00E45AF2"/>
    <w:rsid w:val="00E50A3C"/>
    <w:rsid w:val="00E513EA"/>
    <w:rsid w:val="00E52698"/>
    <w:rsid w:val="00E52FD3"/>
    <w:rsid w:val="00E56678"/>
    <w:rsid w:val="00E566EE"/>
    <w:rsid w:val="00E60E03"/>
    <w:rsid w:val="00E61B8E"/>
    <w:rsid w:val="00E61D8F"/>
    <w:rsid w:val="00E671CB"/>
    <w:rsid w:val="00E706B0"/>
    <w:rsid w:val="00E757F0"/>
    <w:rsid w:val="00E76CA4"/>
    <w:rsid w:val="00E7729B"/>
    <w:rsid w:val="00E830A5"/>
    <w:rsid w:val="00E913F7"/>
    <w:rsid w:val="00E91619"/>
    <w:rsid w:val="00E9167A"/>
    <w:rsid w:val="00EA0907"/>
    <w:rsid w:val="00EA2C83"/>
    <w:rsid w:val="00EA503E"/>
    <w:rsid w:val="00EA5051"/>
    <w:rsid w:val="00EA5BAD"/>
    <w:rsid w:val="00EA5BCA"/>
    <w:rsid w:val="00EA6C33"/>
    <w:rsid w:val="00EB0022"/>
    <w:rsid w:val="00EB3850"/>
    <w:rsid w:val="00EB456F"/>
    <w:rsid w:val="00EB4669"/>
    <w:rsid w:val="00EC047B"/>
    <w:rsid w:val="00EC16BE"/>
    <w:rsid w:val="00EC170B"/>
    <w:rsid w:val="00ED2AC0"/>
    <w:rsid w:val="00ED4C49"/>
    <w:rsid w:val="00ED6D16"/>
    <w:rsid w:val="00EE393E"/>
    <w:rsid w:val="00EE434B"/>
    <w:rsid w:val="00EE47E7"/>
    <w:rsid w:val="00EE6D51"/>
    <w:rsid w:val="00EF0C68"/>
    <w:rsid w:val="00EF134A"/>
    <w:rsid w:val="00EF40BC"/>
    <w:rsid w:val="00EF576C"/>
    <w:rsid w:val="00EF6F5E"/>
    <w:rsid w:val="00EF7201"/>
    <w:rsid w:val="00EF7427"/>
    <w:rsid w:val="00EF78F5"/>
    <w:rsid w:val="00EF7F44"/>
    <w:rsid w:val="00F03F12"/>
    <w:rsid w:val="00F10E7B"/>
    <w:rsid w:val="00F11EA0"/>
    <w:rsid w:val="00F120B0"/>
    <w:rsid w:val="00F12701"/>
    <w:rsid w:val="00F142CC"/>
    <w:rsid w:val="00F172BC"/>
    <w:rsid w:val="00F20C7F"/>
    <w:rsid w:val="00F24BA7"/>
    <w:rsid w:val="00F314C6"/>
    <w:rsid w:val="00F333E2"/>
    <w:rsid w:val="00F33887"/>
    <w:rsid w:val="00F34C35"/>
    <w:rsid w:val="00F36EF9"/>
    <w:rsid w:val="00F42C61"/>
    <w:rsid w:val="00F475F0"/>
    <w:rsid w:val="00F51768"/>
    <w:rsid w:val="00F51BAE"/>
    <w:rsid w:val="00F51D6D"/>
    <w:rsid w:val="00F528D7"/>
    <w:rsid w:val="00F5723D"/>
    <w:rsid w:val="00F57AD0"/>
    <w:rsid w:val="00F60926"/>
    <w:rsid w:val="00F62829"/>
    <w:rsid w:val="00F63DF3"/>
    <w:rsid w:val="00F64E91"/>
    <w:rsid w:val="00F65A95"/>
    <w:rsid w:val="00F667E4"/>
    <w:rsid w:val="00F71A43"/>
    <w:rsid w:val="00F73033"/>
    <w:rsid w:val="00F730C2"/>
    <w:rsid w:val="00F74395"/>
    <w:rsid w:val="00F847CC"/>
    <w:rsid w:val="00F902D5"/>
    <w:rsid w:val="00F91722"/>
    <w:rsid w:val="00F92436"/>
    <w:rsid w:val="00F96D99"/>
    <w:rsid w:val="00FA0C66"/>
    <w:rsid w:val="00FA4988"/>
    <w:rsid w:val="00FA79D2"/>
    <w:rsid w:val="00FA7D8E"/>
    <w:rsid w:val="00FB0801"/>
    <w:rsid w:val="00FB3022"/>
    <w:rsid w:val="00FB34CE"/>
    <w:rsid w:val="00FB4133"/>
    <w:rsid w:val="00FB5B1D"/>
    <w:rsid w:val="00FB5CB8"/>
    <w:rsid w:val="00FB5D67"/>
    <w:rsid w:val="00FB756D"/>
    <w:rsid w:val="00FC05B6"/>
    <w:rsid w:val="00FC08B7"/>
    <w:rsid w:val="00FD3A47"/>
    <w:rsid w:val="00FD5422"/>
    <w:rsid w:val="00FE17D6"/>
    <w:rsid w:val="00FE2A07"/>
    <w:rsid w:val="00FE49A1"/>
    <w:rsid w:val="00FE4FAC"/>
    <w:rsid w:val="00FE542B"/>
    <w:rsid w:val="00FF120E"/>
    <w:rsid w:val="00FF246C"/>
    <w:rsid w:val="00FF5892"/>
    <w:rsid w:val="00FF7B0B"/>
    <w:rsid w:val="00FF7F28"/>
    <w:rsid w:val="01212A9D"/>
    <w:rsid w:val="0185053C"/>
    <w:rsid w:val="01BB1622"/>
    <w:rsid w:val="01BD41EC"/>
    <w:rsid w:val="01BF6DE8"/>
    <w:rsid w:val="0249706F"/>
    <w:rsid w:val="025F7F8E"/>
    <w:rsid w:val="02694894"/>
    <w:rsid w:val="02A71239"/>
    <w:rsid w:val="02B42AD2"/>
    <w:rsid w:val="02D33CF2"/>
    <w:rsid w:val="02EE7231"/>
    <w:rsid w:val="03B833BC"/>
    <w:rsid w:val="03C67BF4"/>
    <w:rsid w:val="03CF48D0"/>
    <w:rsid w:val="043A124F"/>
    <w:rsid w:val="045E66B6"/>
    <w:rsid w:val="0499123B"/>
    <w:rsid w:val="04C63901"/>
    <w:rsid w:val="04C96A6E"/>
    <w:rsid w:val="050B5B04"/>
    <w:rsid w:val="05117F2B"/>
    <w:rsid w:val="0523636D"/>
    <w:rsid w:val="05310D25"/>
    <w:rsid w:val="056900C2"/>
    <w:rsid w:val="058A65B0"/>
    <w:rsid w:val="059D75CB"/>
    <w:rsid w:val="062B74DB"/>
    <w:rsid w:val="064D1608"/>
    <w:rsid w:val="06510B2F"/>
    <w:rsid w:val="06622973"/>
    <w:rsid w:val="06644F22"/>
    <w:rsid w:val="06A10D93"/>
    <w:rsid w:val="06FF4CE0"/>
    <w:rsid w:val="071C5849"/>
    <w:rsid w:val="073641FA"/>
    <w:rsid w:val="078D4260"/>
    <w:rsid w:val="07F31542"/>
    <w:rsid w:val="08282CBF"/>
    <w:rsid w:val="08375E5F"/>
    <w:rsid w:val="083C32A0"/>
    <w:rsid w:val="084836BC"/>
    <w:rsid w:val="086E55FF"/>
    <w:rsid w:val="08786F9F"/>
    <w:rsid w:val="08C527B9"/>
    <w:rsid w:val="08D037ED"/>
    <w:rsid w:val="08DF4EE5"/>
    <w:rsid w:val="09280CE9"/>
    <w:rsid w:val="09577DEC"/>
    <w:rsid w:val="09611CF3"/>
    <w:rsid w:val="0978755F"/>
    <w:rsid w:val="09AB1C6D"/>
    <w:rsid w:val="09ED7D63"/>
    <w:rsid w:val="0A226CF0"/>
    <w:rsid w:val="0A8D459E"/>
    <w:rsid w:val="0A98110F"/>
    <w:rsid w:val="0AB223B7"/>
    <w:rsid w:val="0AD17F88"/>
    <w:rsid w:val="0AD37241"/>
    <w:rsid w:val="0AD85938"/>
    <w:rsid w:val="0AE7509D"/>
    <w:rsid w:val="0AF06E63"/>
    <w:rsid w:val="0B3F6C28"/>
    <w:rsid w:val="0B5B71CE"/>
    <w:rsid w:val="0BAE1759"/>
    <w:rsid w:val="0BC36882"/>
    <w:rsid w:val="0BCC0864"/>
    <w:rsid w:val="0BED73B7"/>
    <w:rsid w:val="0C3644B1"/>
    <w:rsid w:val="0C723E41"/>
    <w:rsid w:val="0CBB28B8"/>
    <w:rsid w:val="0CD906D4"/>
    <w:rsid w:val="0CF10F4C"/>
    <w:rsid w:val="0CF656B8"/>
    <w:rsid w:val="0D127FBA"/>
    <w:rsid w:val="0D3C7A45"/>
    <w:rsid w:val="0E1F29E6"/>
    <w:rsid w:val="0E211757"/>
    <w:rsid w:val="0E641532"/>
    <w:rsid w:val="0E892AA5"/>
    <w:rsid w:val="0E8D4BC8"/>
    <w:rsid w:val="0EB860B0"/>
    <w:rsid w:val="0EBD0E3B"/>
    <w:rsid w:val="0EBF5CD3"/>
    <w:rsid w:val="0EC1516C"/>
    <w:rsid w:val="0ECF0DC1"/>
    <w:rsid w:val="0EE77BF7"/>
    <w:rsid w:val="0F1E25F7"/>
    <w:rsid w:val="0F2E475D"/>
    <w:rsid w:val="0F67752D"/>
    <w:rsid w:val="0F71534E"/>
    <w:rsid w:val="0F742064"/>
    <w:rsid w:val="0F9C0F62"/>
    <w:rsid w:val="0FBE0924"/>
    <w:rsid w:val="10117223"/>
    <w:rsid w:val="101B4A74"/>
    <w:rsid w:val="103442DB"/>
    <w:rsid w:val="1036272A"/>
    <w:rsid w:val="104B00A3"/>
    <w:rsid w:val="105A6290"/>
    <w:rsid w:val="1070047B"/>
    <w:rsid w:val="109B0021"/>
    <w:rsid w:val="109B7BE4"/>
    <w:rsid w:val="10B6621F"/>
    <w:rsid w:val="10C56BB4"/>
    <w:rsid w:val="10FF7A80"/>
    <w:rsid w:val="115321DA"/>
    <w:rsid w:val="117443FC"/>
    <w:rsid w:val="11761AF6"/>
    <w:rsid w:val="11F56A43"/>
    <w:rsid w:val="12214773"/>
    <w:rsid w:val="123C1248"/>
    <w:rsid w:val="123D6511"/>
    <w:rsid w:val="12455ECF"/>
    <w:rsid w:val="127303A2"/>
    <w:rsid w:val="127B245A"/>
    <w:rsid w:val="12932D93"/>
    <w:rsid w:val="129F0F75"/>
    <w:rsid w:val="12A24877"/>
    <w:rsid w:val="12AD0453"/>
    <w:rsid w:val="12B34675"/>
    <w:rsid w:val="13701F7E"/>
    <w:rsid w:val="13A878C4"/>
    <w:rsid w:val="13AD6AF9"/>
    <w:rsid w:val="13D35C6C"/>
    <w:rsid w:val="13E140E8"/>
    <w:rsid w:val="142B57F8"/>
    <w:rsid w:val="143D5402"/>
    <w:rsid w:val="1446725B"/>
    <w:rsid w:val="14A56265"/>
    <w:rsid w:val="14C87E92"/>
    <w:rsid w:val="14F8388A"/>
    <w:rsid w:val="150C3345"/>
    <w:rsid w:val="156264EB"/>
    <w:rsid w:val="15E72BF8"/>
    <w:rsid w:val="163F05DA"/>
    <w:rsid w:val="166369AF"/>
    <w:rsid w:val="166864D1"/>
    <w:rsid w:val="16AE176B"/>
    <w:rsid w:val="16DE7947"/>
    <w:rsid w:val="171479C3"/>
    <w:rsid w:val="17451C21"/>
    <w:rsid w:val="17B44FF8"/>
    <w:rsid w:val="17E4137A"/>
    <w:rsid w:val="17FDAE48"/>
    <w:rsid w:val="181172CA"/>
    <w:rsid w:val="1826570F"/>
    <w:rsid w:val="182C6A41"/>
    <w:rsid w:val="18591E4E"/>
    <w:rsid w:val="18644328"/>
    <w:rsid w:val="18795D73"/>
    <w:rsid w:val="18824E87"/>
    <w:rsid w:val="1890230F"/>
    <w:rsid w:val="18A27726"/>
    <w:rsid w:val="18BA0BD5"/>
    <w:rsid w:val="18C715A4"/>
    <w:rsid w:val="18D64CD9"/>
    <w:rsid w:val="18EC7F6B"/>
    <w:rsid w:val="18F5747F"/>
    <w:rsid w:val="1901283B"/>
    <w:rsid w:val="19212542"/>
    <w:rsid w:val="195000EF"/>
    <w:rsid w:val="195970F8"/>
    <w:rsid w:val="195E3DC4"/>
    <w:rsid w:val="19EA34EE"/>
    <w:rsid w:val="1A3828D6"/>
    <w:rsid w:val="1A4330C5"/>
    <w:rsid w:val="1A603A74"/>
    <w:rsid w:val="1AD61D18"/>
    <w:rsid w:val="1AF6310D"/>
    <w:rsid w:val="1B361A3C"/>
    <w:rsid w:val="1B366571"/>
    <w:rsid w:val="1B824FFA"/>
    <w:rsid w:val="1B924DBA"/>
    <w:rsid w:val="1BFD293A"/>
    <w:rsid w:val="1C1A7FEC"/>
    <w:rsid w:val="1C213768"/>
    <w:rsid w:val="1C2B7B7A"/>
    <w:rsid w:val="1C386E1E"/>
    <w:rsid w:val="1C4F3360"/>
    <w:rsid w:val="1C59260F"/>
    <w:rsid w:val="1C920D55"/>
    <w:rsid w:val="1CB47291"/>
    <w:rsid w:val="1CD37CDC"/>
    <w:rsid w:val="1CD74A9F"/>
    <w:rsid w:val="1CD90234"/>
    <w:rsid w:val="1CEA0A84"/>
    <w:rsid w:val="1D271AB6"/>
    <w:rsid w:val="1D417EBD"/>
    <w:rsid w:val="1D4C372C"/>
    <w:rsid w:val="1D642CF6"/>
    <w:rsid w:val="1D8208A3"/>
    <w:rsid w:val="1DD0420E"/>
    <w:rsid w:val="1DD071BB"/>
    <w:rsid w:val="1E450E6A"/>
    <w:rsid w:val="1E4C7CF0"/>
    <w:rsid w:val="1E94348E"/>
    <w:rsid w:val="1E951332"/>
    <w:rsid w:val="1EA45494"/>
    <w:rsid w:val="1F0D5085"/>
    <w:rsid w:val="1F5001E2"/>
    <w:rsid w:val="1F5C39C7"/>
    <w:rsid w:val="20230210"/>
    <w:rsid w:val="20350095"/>
    <w:rsid w:val="204D6C51"/>
    <w:rsid w:val="204D73F0"/>
    <w:rsid w:val="207C4257"/>
    <w:rsid w:val="209669C5"/>
    <w:rsid w:val="20B07120"/>
    <w:rsid w:val="20D02E71"/>
    <w:rsid w:val="20D06EC7"/>
    <w:rsid w:val="210670D2"/>
    <w:rsid w:val="210743EB"/>
    <w:rsid w:val="213C5F40"/>
    <w:rsid w:val="21493908"/>
    <w:rsid w:val="21694371"/>
    <w:rsid w:val="216A0BAE"/>
    <w:rsid w:val="22081361"/>
    <w:rsid w:val="2216087E"/>
    <w:rsid w:val="221A4137"/>
    <w:rsid w:val="22344675"/>
    <w:rsid w:val="23157322"/>
    <w:rsid w:val="23196963"/>
    <w:rsid w:val="232A5609"/>
    <w:rsid w:val="23413038"/>
    <w:rsid w:val="23573096"/>
    <w:rsid w:val="23576885"/>
    <w:rsid w:val="23B87967"/>
    <w:rsid w:val="23D5581C"/>
    <w:rsid w:val="24542EE9"/>
    <w:rsid w:val="24942439"/>
    <w:rsid w:val="24C76A74"/>
    <w:rsid w:val="253650F3"/>
    <w:rsid w:val="253D2ED4"/>
    <w:rsid w:val="25610A8D"/>
    <w:rsid w:val="25703C01"/>
    <w:rsid w:val="258021C4"/>
    <w:rsid w:val="25983445"/>
    <w:rsid w:val="25AF6361"/>
    <w:rsid w:val="25B72A13"/>
    <w:rsid w:val="25BF4621"/>
    <w:rsid w:val="25D45648"/>
    <w:rsid w:val="25FB2C20"/>
    <w:rsid w:val="260236F0"/>
    <w:rsid w:val="26365FE7"/>
    <w:rsid w:val="266A37A8"/>
    <w:rsid w:val="26D46AD2"/>
    <w:rsid w:val="26EE4083"/>
    <w:rsid w:val="270A3210"/>
    <w:rsid w:val="271436A9"/>
    <w:rsid w:val="27D64EBC"/>
    <w:rsid w:val="27E014F2"/>
    <w:rsid w:val="27F154AD"/>
    <w:rsid w:val="281A6E22"/>
    <w:rsid w:val="283210C4"/>
    <w:rsid w:val="28571276"/>
    <w:rsid w:val="285A74F6"/>
    <w:rsid w:val="28CC2850"/>
    <w:rsid w:val="28F55961"/>
    <w:rsid w:val="292D0D37"/>
    <w:rsid w:val="29333A9C"/>
    <w:rsid w:val="29626662"/>
    <w:rsid w:val="296B4592"/>
    <w:rsid w:val="297C79BE"/>
    <w:rsid w:val="29D74256"/>
    <w:rsid w:val="2A1E1CBA"/>
    <w:rsid w:val="2A2979C7"/>
    <w:rsid w:val="2A3165D2"/>
    <w:rsid w:val="2A487B54"/>
    <w:rsid w:val="2A860845"/>
    <w:rsid w:val="2A86577E"/>
    <w:rsid w:val="2A9D36CA"/>
    <w:rsid w:val="2AF70725"/>
    <w:rsid w:val="2BE37BA4"/>
    <w:rsid w:val="2BFE0E4A"/>
    <w:rsid w:val="2C2A73CF"/>
    <w:rsid w:val="2C4C1523"/>
    <w:rsid w:val="2C600CD5"/>
    <w:rsid w:val="2C841EC2"/>
    <w:rsid w:val="2C892D45"/>
    <w:rsid w:val="2CC87124"/>
    <w:rsid w:val="2CD508B8"/>
    <w:rsid w:val="2CDE23AC"/>
    <w:rsid w:val="2D1166CA"/>
    <w:rsid w:val="2D150329"/>
    <w:rsid w:val="2D354C6E"/>
    <w:rsid w:val="2D454904"/>
    <w:rsid w:val="2D5A5C2C"/>
    <w:rsid w:val="2D620A77"/>
    <w:rsid w:val="2D6E1FAB"/>
    <w:rsid w:val="2D7D02B4"/>
    <w:rsid w:val="2D86591E"/>
    <w:rsid w:val="2D9E08D1"/>
    <w:rsid w:val="2DBDBC25"/>
    <w:rsid w:val="2DE354B9"/>
    <w:rsid w:val="2E2049E3"/>
    <w:rsid w:val="2E287681"/>
    <w:rsid w:val="2E38530E"/>
    <w:rsid w:val="2E56367E"/>
    <w:rsid w:val="2E730027"/>
    <w:rsid w:val="2EA414CB"/>
    <w:rsid w:val="2EAE0B87"/>
    <w:rsid w:val="2ED56210"/>
    <w:rsid w:val="2EDD678B"/>
    <w:rsid w:val="2F402A0F"/>
    <w:rsid w:val="2F493741"/>
    <w:rsid w:val="2F934C3C"/>
    <w:rsid w:val="2FAC5F5D"/>
    <w:rsid w:val="2FB325A3"/>
    <w:rsid w:val="2FD64A2A"/>
    <w:rsid w:val="3011060A"/>
    <w:rsid w:val="301D56A5"/>
    <w:rsid w:val="303A29A6"/>
    <w:rsid w:val="304C085F"/>
    <w:rsid w:val="30652D3D"/>
    <w:rsid w:val="30887EF2"/>
    <w:rsid w:val="30B120B3"/>
    <w:rsid w:val="30C33BD2"/>
    <w:rsid w:val="3118111D"/>
    <w:rsid w:val="31473F17"/>
    <w:rsid w:val="314A69CD"/>
    <w:rsid w:val="31562427"/>
    <w:rsid w:val="31A83080"/>
    <w:rsid w:val="3212231A"/>
    <w:rsid w:val="32227809"/>
    <w:rsid w:val="32254091"/>
    <w:rsid w:val="323932D7"/>
    <w:rsid w:val="32625925"/>
    <w:rsid w:val="329800C0"/>
    <w:rsid w:val="32BA750F"/>
    <w:rsid w:val="32F457DD"/>
    <w:rsid w:val="33DB7564"/>
    <w:rsid w:val="340B0788"/>
    <w:rsid w:val="34262786"/>
    <w:rsid w:val="348A13C9"/>
    <w:rsid w:val="34A31ED0"/>
    <w:rsid w:val="34A47EB7"/>
    <w:rsid w:val="34AC1561"/>
    <w:rsid w:val="34CC3529"/>
    <w:rsid w:val="352E525D"/>
    <w:rsid w:val="354C3E03"/>
    <w:rsid w:val="35D550B1"/>
    <w:rsid w:val="35EE62CF"/>
    <w:rsid w:val="36152EDD"/>
    <w:rsid w:val="363950D2"/>
    <w:rsid w:val="365256CD"/>
    <w:rsid w:val="36612E47"/>
    <w:rsid w:val="368307F5"/>
    <w:rsid w:val="36B9373A"/>
    <w:rsid w:val="37347AAA"/>
    <w:rsid w:val="376B588A"/>
    <w:rsid w:val="377354CE"/>
    <w:rsid w:val="37736E0D"/>
    <w:rsid w:val="37947B83"/>
    <w:rsid w:val="37B86F4D"/>
    <w:rsid w:val="37FF01D8"/>
    <w:rsid w:val="38172848"/>
    <w:rsid w:val="3862667F"/>
    <w:rsid w:val="38E54B89"/>
    <w:rsid w:val="38FF4281"/>
    <w:rsid w:val="39131203"/>
    <w:rsid w:val="39173FA9"/>
    <w:rsid w:val="392656FD"/>
    <w:rsid w:val="3993535A"/>
    <w:rsid w:val="39B54628"/>
    <w:rsid w:val="39D762C9"/>
    <w:rsid w:val="39F60B9B"/>
    <w:rsid w:val="3A080ADD"/>
    <w:rsid w:val="3A0C0AEA"/>
    <w:rsid w:val="3A271FF2"/>
    <w:rsid w:val="3A2931D7"/>
    <w:rsid w:val="3A297440"/>
    <w:rsid w:val="3A482475"/>
    <w:rsid w:val="3A563252"/>
    <w:rsid w:val="3A5F380F"/>
    <w:rsid w:val="3A6617D3"/>
    <w:rsid w:val="3AE87034"/>
    <w:rsid w:val="3AF04209"/>
    <w:rsid w:val="3B264602"/>
    <w:rsid w:val="3B7E2D7D"/>
    <w:rsid w:val="3B80429A"/>
    <w:rsid w:val="3BA30A94"/>
    <w:rsid w:val="3C18439E"/>
    <w:rsid w:val="3C5A3EF9"/>
    <w:rsid w:val="3CCC3E86"/>
    <w:rsid w:val="3CF2238C"/>
    <w:rsid w:val="3D032EE3"/>
    <w:rsid w:val="3D853BF6"/>
    <w:rsid w:val="3DB64BD6"/>
    <w:rsid w:val="3DC50703"/>
    <w:rsid w:val="3DDE7170"/>
    <w:rsid w:val="3E164BB3"/>
    <w:rsid w:val="3E1A57D3"/>
    <w:rsid w:val="3E425114"/>
    <w:rsid w:val="3E900CD5"/>
    <w:rsid w:val="3E950FD6"/>
    <w:rsid w:val="3F4E446E"/>
    <w:rsid w:val="3F637E50"/>
    <w:rsid w:val="3FBA4BB9"/>
    <w:rsid w:val="3FD9133E"/>
    <w:rsid w:val="3FD94B33"/>
    <w:rsid w:val="3FF83B2F"/>
    <w:rsid w:val="3FFC108A"/>
    <w:rsid w:val="401F3FE0"/>
    <w:rsid w:val="40336B9C"/>
    <w:rsid w:val="409C49C7"/>
    <w:rsid w:val="40BA692C"/>
    <w:rsid w:val="40D55CEA"/>
    <w:rsid w:val="41314BDF"/>
    <w:rsid w:val="4137466E"/>
    <w:rsid w:val="41862682"/>
    <w:rsid w:val="41BC2511"/>
    <w:rsid w:val="42111742"/>
    <w:rsid w:val="42156539"/>
    <w:rsid w:val="42C4503F"/>
    <w:rsid w:val="42D71F7C"/>
    <w:rsid w:val="42DA5063"/>
    <w:rsid w:val="42E0124E"/>
    <w:rsid w:val="42E73C50"/>
    <w:rsid w:val="43097B5D"/>
    <w:rsid w:val="43185B6A"/>
    <w:rsid w:val="43232548"/>
    <w:rsid w:val="434155E3"/>
    <w:rsid w:val="43467F9B"/>
    <w:rsid w:val="43513775"/>
    <w:rsid w:val="43AD06CE"/>
    <w:rsid w:val="43CF3C89"/>
    <w:rsid w:val="43E659C8"/>
    <w:rsid w:val="43F32881"/>
    <w:rsid w:val="449317D8"/>
    <w:rsid w:val="44A33738"/>
    <w:rsid w:val="44AC7FB2"/>
    <w:rsid w:val="44FD616F"/>
    <w:rsid w:val="45024B73"/>
    <w:rsid w:val="459170A6"/>
    <w:rsid w:val="45E87A97"/>
    <w:rsid w:val="45F14B9E"/>
    <w:rsid w:val="460A3548"/>
    <w:rsid w:val="464D638C"/>
    <w:rsid w:val="466B34C7"/>
    <w:rsid w:val="46BA58D8"/>
    <w:rsid w:val="46D701C3"/>
    <w:rsid w:val="46F334E3"/>
    <w:rsid w:val="474312F6"/>
    <w:rsid w:val="476D70D5"/>
    <w:rsid w:val="47984EC7"/>
    <w:rsid w:val="47AF0338"/>
    <w:rsid w:val="47BC7995"/>
    <w:rsid w:val="47D734D9"/>
    <w:rsid w:val="488D0CE8"/>
    <w:rsid w:val="489673D1"/>
    <w:rsid w:val="48BF4AA9"/>
    <w:rsid w:val="48F30C2D"/>
    <w:rsid w:val="490502D8"/>
    <w:rsid w:val="490B0945"/>
    <w:rsid w:val="490F7359"/>
    <w:rsid w:val="49656130"/>
    <w:rsid w:val="49666A04"/>
    <w:rsid w:val="49717313"/>
    <w:rsid w:val="498413E9"/>
    <w:rsid w:val="49A73FA0"/>
    <w:rsid w:val="49BF5AD9"/>
    <w:rsid w:val="49D43077"/>
    <w:rsid w:val="49D57801"/>
    <w:rsid w:val="49EC082B"/>
    <w:rsid w:val="4A05194D"/>
    <w:rsid w:val="4A0F275A"/>
    <w:rsid w:val="4A721AB7"/>
    <w:rsid w:val="4ADC2AB1"/>
    <w:rsid w:val="4B225795"/>
    <w:rsid w:val="4B422EF7"/>
    <w:rsid w:val="4B427F2A"/>
    <w:rsid w:val="4B430586"/>
    <w:rsid w:val="4B7F073F"/>
    <w:rsid w:val="4B842010"/>
    <w:rsid w:val="4BC50BB4"/>
    <w:rsid w:val="4BD97E64"/>
    <w:rsid w:val="4C6E6932"/>
    <w:rsid w:val="4CB131D7"/>
    <w:rsid w:val="4CC03079"/>
    <w:rsid w:val="4CC0506B"/>
    <w:rsid w:val="4CD075E2"/>
    <w:rsid w:val="4D0B584A"/>
    <w:rsid w:val="4D4B0A94"/>
    <w:rsid w:val="4D5944BC"/>
    <w:rsid w:val="4D5C632F"/>
    <w:rsid w:val="4D6E1447"/>
    <w:rsid w:val="4D70106A"/>
    <w:rsid w:val="4D81353D"/>
    <w:rsid w:val="4D822534"/>
    <w:rsid w:val="4DC31040"/>
    <w:rsid w:val="4DC70A17"/>
    <w:rsid w:val="4DD00779"/>
    <w:rsid w:val="4DD032D3"/>
    <w:rsid w:val="4DF81F05"/>
    <w:rsid w:val="4E2F7002"/>
    <w:rsid w:val="4E3065DA"/>
    <w:rsid w:val="4F063479"/>
    <w:rsid w:val="4F4E3061"/>
    <w:rsid w:val="4F5F7D11"/>
    <w:rsid w:val="4F8112F6"/>
    <w:rsid w:val="4FDF3A0A"/>
    <w:rsid w:val="5027419A"/>
    <w:rsid w:val="50401FD1"/>
    <w:rsid w:val="50461BC0"/>
    <w:rsid w:val="50532B96"/>
    <w:rsid w:val="505E72D4"/>
    <w:rsid w:val="50B90385"/>
    <w:rsid w:val="517C40AB"/>
    <w:rsid w:val="51B30384"/>
    <w:rsid w:val="51EA6948"/>
    <w:rsid w:val="51FC52AE"/>
    <w:rsid w:val="52412F06"/>
    <w:rsid w:val="52573BBD"/>
    <w:rsid w:val="52743583"/>
    <w:rsid w:val="52CA5AE0"/>
    <w:rsid w:val="530B3C9E"/>
    <w:rsid w:val="536460C0"/>
    <w:rsid w:val="54077E93"/>
    <w:rsid w:val="542E6EAD"/>
    <w:rsid w:val="54304757"/>
    <w:rsid w:val="543259D6"/>
    <w:rsid w:val="54442C85"/>
    <w:rsid w:val="54B41BB8"/>
    <w:rsid w:val="553D0B1E"/>
    <w:rsid w:val="55441147"/>
    <w:rsid w:val="55983F59"/>
    <w:rsid w:val="55B94ACC"/>
    <w:rsid w:val="55F07942"/>
    <w:rsid w:val="562F42FD"/>
    <w:rsid w:val="56300617"/>
    <w:rsid w:val="56426C71"/>
    <w:rsid w:val="569307BD"/>
    <w:rsid w:val="56B851D4"/>
    <w:rsid w:val="56CA33E9"/>
    <w:rsid w:val="56CF2CD9"/>
    <w:rsid w:val="56F53762"/>
    <w:rsid w:val="570A5ABF"/>
    <w:rsid w:val="57557491"/>
    <w:rsid w:val="575C6F26"/>
    <w:rsid w:val="576C3726"/>
    <w:rsid w:val="57853C8F"/>
    <w:rsid w:val="578D5C0A"/>
    <w:rsid w:val="579A06C6"/>
    <w:rsid w:val="579C6423"/>
    <w:rsid w:val="57E6647D"/>
    <w:rsid w:val="57FB5D50"/>
    <w:rsid w:val="5815342F"/>
    <w:rsid w:val="58200A9A"/>
    <w:rsid w:val="584A25AD"/>
    <w:rsid w:val="58511B16"/>
    <w:rsid w:val="58907461"/>
    <w:rsid w:val="58E2735A"/>
    <w:rsid w:val="58FE4664"/>
    <w:rsid w:val="5920568B"/>
    <w:rsid w:val="5939706E"/>
    <w:rsid w:val="595D598C"/>
    <w:rsid w:val="5999618E"/>
    <w:rsid w:val="59C51F84"/>
    <w:rsid w:val="59EF4BD9"/>
    <w:rsid w:val="59F341F4"/>
    <w:rsid w:val="5A20384C"/>
    <w:rsid w:val="5A3130EE"/>
    <w:rsid w:val="5A6130DC"/>
    <w:rsid w:val="5A7A7400"/>
    <w:rsid w:val="5A7B41D4"/>
    <w:rsid w:val="5AAA1B68"/>
    <w:rsid w:val="5AF85B13"/>
    <w:rsid w:val="5B333FB4"/>
    <w:rsid w:val="5B3838BA"/>
    <w:rsid w:val="5B836AC8"/>
    <w:rsid w:val="5B8D32C1"/>
    <w:rsid w:val="5BCC472C"/>
    <w:rsid w:val="5C667A36"/>
    <w:rsid w:val="5CD57509"/>
    <w:rsid w:val="5CE745C6"/>
    <w:rsid w:val="5CEE4CF7"/>
    <w:rsid w:val="5D080349"/>
    <w:rsid w:val="5D0D774B"/>
    <w:rsid w:val="5D2571FD"/>
    <w:rsid w:val="5D401C55"/>
    <w:rsid w:val="5D47186E"/>
    <w:rsid w:val="5D780AD2"/>
    <w:rsid w:val="5D9A4243"/>
    <w:rsid w:val="5DBE517A"/>
    <w:rsid w:val="5DCE4B51"/>
    <w:rsid w:val="5DEF61CF"/>
    <w:rsid w:val="5E7151D4"/>
    <w:rsid w:val="5E7563EB"/>
    <w:rsid w:val="5E877F0C"/>
    <w:rsid w:val="5EA01DE4"/>
    <w:rsid w:val="5EAF4847"/>
    <w:rsid w:val="5ECD3C9B"/>
    <w:rsid w:val="5EF3378A"/>
    <w:rsid w:val="5F4C4CF4"/>
    <w:rsid w:val="5F5B066B"/>
    <w:rsid w:val="5F6854E4"/>
    <w:rsid w:val="5F781D09"/>
    <w:rsid w:val="5F82003A"/>
    <w:rsid w:val="5F926D5D"/>
    <w:rsid w:val="60087B0A"/>
    <w:rsid w:val="60797CE6"/>
    <w:rsid w:val="60887821"/>
    <w:rsid w:val="60CF5B66"/>
    <w:rsid w:val="60F374AF"/>
    <w:rsid w:val="61113810"/>
    <w:rsid w:val="611625D9"/>
    <w:rsid w:val="62065D3E"/>
    <w:rsid w:val="629439E6"/>
    <w:rsid w:val="62A617A6"/>
    <w:rsid w:val="63187DB5"/>
    <w:rsid w:val="63272EAE"/>
    <w:rsid w:val="632C1A6D"/>
    <w:rsid w:val="635D2937"/>
    <w:rsid w:val="637A5320"/>
    <w:rsid w:val="63874B33"/>
    <w:rsid w:val="63C06F5E"/>
    <w:rsid w:val="63F40BC2"/>
    <w:rsid w:val="63FF4BA5"/>
    <w:rsid w:val="641D525C"/>
    <w:rsid w:val="642A7DD6"/>
    <w:rsid w:val="64306D81"/>
    <w:rsid w:val="647139D0"/>
    <w:rsid w:val="649A0A1E"/>
    <w:rsid w:val="64A942A1"/>
    <w:rsid w:val="64CC6AAA"/>
    <w:rsid w:val="658F2A89"/>
    <w:rsid w:val="65A37D5E"/>
    <w:rsid w:val="65AA05E6"/>
    <w:rsid w:val="65CE17AB"/>
    <w:rsid w:val="65DF10D4"/>
    <w:rsid w:val="65EC0B45"/>
    <w:rsid w:val="65F77B57"/>
    <w:rsid w:val="65FE312F"/>
    <w:rsid w:val="6616565A"/>
    <w:rsid w:val="662C3B8C"/>
    <w:rsid w:val="664040BD"/>
    <w:rsid w:val="66570198"/>
    <w:rsid w:val="66C37AA5"/>
    <w:rsid w:val="66E703C0"/>
    <w:rsid w:val="66F145A6"/>
    <w:rsid w:val="675B4553"/>
    <w:rsid w:val="67C31A58"/>
    <w:rsid w:val="67C73A92"/>
    <w:rsid w:val="68374663"/>
    <w:rsid w:val="68447923"/>
    <w:rsid w:val="684555C0"/>
    <w:rsid w:val="684B7113"/>
    <w:rsid w:val="6897786E"/>
    <w:rsid w:val="68A93953"/>
    <w:rsid w:val="68C573F4"/>
    <w:rsid w:val="690245EB"/>
    <w:rsid w:val="695974F3"/>
    <w:rsid w:val="696347AC"/>
    <w:rsid w:val="69691665"/>
    <w:rsid w:val="69943784"/>
    <w:rsid w:val="69973E75"/>
    <w:rsid w:val="69D0429B"/>
    <w:rsid w:val="69EA0620"/>
    <w:rsid w:val="6A5B63D3"/>
    <w:rsid w:val="6A776A00"/>
    <w:rsid w:val="6A8F7C36"/>
    <w:rsid w:val="6AB02270"/>
    <w:rsid w:val="6AB15B01"/>
    <w:rsid w:val="6B0A1C51"/>
    <w:rsid w:val="6B1747F7"/>
    <w:rsid w:val="6B4329B7"/>
    <w:rsid w:val="6B635EB9"/>
    <w:rsid w:val="6B6B74C9"/>
    <w:rsid w:val="6B7B1DD6"/>
    <w:rsid w:val="6B9343E2"/>
    <w:rsid w:val="6BAB49F1"/>
    <w:rsid w:val="6BAD2A66"/>
    <w:rsid w:val="6BBD633B"/>
    <w:rsid w:val="6BD40BF6"/>
    <w:rsid w:val="6C042658"/>
    <w:rsid w:val="6C2F04D4"/>
    <w:rsid w:val="6C3F155D"/>
    <w:rsid w:val="6CB12DDB"/>
    <w:rsid w:val="6D014F9A"/>
    <w:rsid w:val="6D3017D0"/>
    <w:rsid w:val="6D341BBA"/>
    <w:rsid w:val="6D346621"/>
    <w:rsid w:val="6D7D0B4F"/>
    <w:rsid w:val="6D7D1472"/>
    <w:rsid w:val="6DE314EB"/>
    <w:rsid w:val="6E24682B"/>
    <w:rsid w:val="6E267EE6"/>
    <w:rsid w:val="6E473A02"/>
    <w:rsid w:val="6E7F782C"/>
    <w:rsid w:val="6EC22A57"/>
    <w:rsid w:val="6EC43D5C"/>
    <w:rsid w:val="6EDA5114"/>
    <w:rsid w:val="6EED7A22"/>
    <w:rsid w:val="6F075452"/>
    <w:rsid w:val="6F1E1EB9"/>
    <w:rsid w:val="6F231CCC"/>
    <w:rsid w:val="6F257D2A"/>
    <w:rsid w:val="6F8D6E83"/>
    <w:rsid w:val="70511B8D"/>
    <w:rsid w:val="70782D19"/>
    <w:rsid w:val="70797D18"/>
    <w:rsid w:val="70EF15C8"/>
    <w:rsid w:val="71164273"/>
    <w:rsid w:val="712E3DA9"/>
    <w:rsid w:val="71513FD0"/>
    <w:rsid w:val="71667127"/>
    <w:rsid w:val="72693B8A"/>
    <w:rsid w:val="72772201"/>
    <w:rsid w:val="72AB41A3"/>
    <w:rsid w:val="72AF42D4"/>
    <w:rsid w:val="72CD01A9"/>
    <w:rsid w:val="72DE3FCB"/>
    <w:rsid w:val="73073291"/>
    <w:rsid w:val="73A72E10"/>
    <w:rsid w:val="73BE0781"/>
    <w:rsid w:val="74061450"/>
    <w:rsid w:val="742D507B"/>
    <w:rsid w:val="746F6A57"/>
    <w:rsid w:val="74746816"/>
    <w:rsid w:val="7480340D"/>
    <w:rsid w:val="7486419E"/>
    <w:rsid w:val="74960532"/>
    <w:rsid w:val="74EE1C7F"/>
    <w:rsid w:val="7540423B"/>
    <w:rsid w:val="75630A0D"/>
    <w:rsid w:val="758E26A4"/>
    <w:rsid w:val="759F4B26"/>
    <w:rsid w:val="75AC442E"/>
    <w:rsid w:val="75AD7592"/>
    <w:rsid w:val="75BF1D13"/>
    <w:rsid w:val="75F67D3D"/>
    <w:rsid w:val="760834B8"/>
    <w:rsid w:val="766B0C7E"/>
    <w:rsid w:val="767001A6"/>
    <w:rsid w:val="76832CE8"/>
    <w:rsid w:val="769D1F6B"/>
    <w:rsid w:val="76AA1830"/>
    <w:rsid w:val="76CF0CA6"/>
    <w:rsid w:val="77C056C6"/>
    <w:rsid w:val="77C5560F"/>
    <w:rsid w:val="77CA5B49"/>
    <w:rsid w:val="780027AD"/>
    <w:rsid w:val="78080A1E"/>
    <w:rsid w:val="781C19AE"/>
    <w:rsid w:val="78952D76"/>
    <w:rsid w:val="78AC5F12"/>
    <w:rsid w:val="78C134D4"/>
    <w:rsid w:val="78C5590D"/>
    <w:rsid w:val="78DD7840"/>
    <w:rsid w:val="791E0095"/>
    <w:rsid w:val="793A5F27"/>
    <w:rsid w:val="79A135FF"/>
    <w:rsid w:val="79AA6F2A"/>
    <w:rsid w:val="79BF2D8F"/>
    <w:rsid w:val="79C42B0B"/>
    <w:rsid w:val="7A0C1888"/>
    <w:rsid w:val="7A1112B7"/>
    <w:rsid w:val="7A432F13"/>
    <w:rsid w:val="7A4465DE"/>
    <w:rsid w:val="7A806935"/>
    <w:rsid w:val="7AB86574"/>
    <w:rsid w:val="7ADD4692"/>
    <w:rsid w:val="7B1025D3"/>
    <w:rsid w:val="7B24084B"/>
    <w:rsid w:val="7B373551"/>
    <w:rsid w:val="7B5570E6"/>
    <w:rsid w:val="7BC94069"/>
    <w:rsid w:val="7BE0776A"/>
    <w:rsid w:val="7C165DEF"/>
    <w:rsid w:val="7C786F90"/>
    <w:rsid w:val="7C8B61BE"/>
    <w:rsid w:val="7CA917A9"/>
    <w:rsid w:val="7CC83E08"/>
    <w:rsid w:val="7CFD5180"/>
    <w:rsid w:val="7D852E8A"/>
    <w:rsid w:val="7D9B0A70"/>
    <w:rsid w:val="7D9C7848"/>
    <w:rsid w:val="7DA51E1A"/>
    <w:rsid w:val="7DB80A22"/>
    <w:rsid w:val="7DCE00F3"/>
    <w:rsid w:val="7DE16C44"/>
    <w:rsid w:val="7E1F3BD2"/>
    <w:rsid w:val="7E695D73"/>
    <w:rsid w:val="7EBA0FF5"/>
    <w:rsid w:val="7F0326EE"/>
    <w:rsid w:val="7F164D89"/>
    <w:rsid w:val="7F3307D1"/>
    <w:rsid w:val="7F799D2B"/>
    <w:rsid w:val="7F916950"/>
    <w:rsid w:val="7FC70160"/>
    <w:rsid w:val="7FE577E3"/>
    <w:rsid w:val="7FEC6EAD"/>
    <w:rsid w:val="AEFF8FF3"/>
    <w:rsid w:val="B2FF1A29"/>
    <w:rsid w:val="D7FFE54A"/>
    <w:rsid w:val="E9FFBF6A"/>
    <w:rsid w:val="FE7361EF"/>
    <w:rsid w:val="FEDDA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9"/>
    <w:pPr>
      <w:keepNext/>
      <w:widowControl w:val="0"/>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link w:val="58"/>
    <w:qFormat/>
    <w:uiPriority w:val="0"/>
    <w:pPr>
      <w:keepNext/>
      <w:keepLines/>
      <w:widowControl w:val="0"/>
      <w:spacing w:before="120" w:beforeLines="0" w:after="120" w:afterLines="0" w:line="360" w:lineRule="auto"/>
      <w:jc w:val="center"/>
      <w:outlineLvl w:val="1"/>
    </w:pPr>
    <w:rPr>
      <w:rFonts w:ascii="Arial" w:hAnsi="Arial"/>
      <w:b/>
      <w:bCs/>
      <w:sz w:val="28"/>
      <w:szCs w:val="32"/>
    </w:rPr>
  </w:style>
  <w:style w:type="paragraph" w:styleId="4">
    <w:name w:val="heading 3"/>
    <w:basedOn w:val="1"/>
    <w:next w:val="1"/>
    <w:link w:val="59"/>
    <w:qFormat/>
    <w:uiPriority w:val="0"/>
    <w:pPr>
      <w:keepNext/>
      <w:keepLines/>
      <w:widowControl w:val="0"/>
      <w:spacing w:before="120" w:beforeLines="0" w:after="120" w:afterLines="0" w:line="360" w:lineRule="auto"/>
      <w:ind w:firstLine="200" w:firstLineChars="200"/>
      <w:jc w:val="center"/>
      <w:outlineLvl w:val="2"/>
    </w:pPr>
    <w:rPr>
      <w:rFonts w:ascii="宋体"/>
      <w:b/>
      <w:bCs/>
      <w:sz w:val="24"/>
      <w:szCs w:val="32"/>
    </w:rPr>
  </w:style>
  <w:style w:type="paragraph" w:styleId="5">
    <w:name w:val="heading 4"/>
    <w:basedOn w:val="1"/>
    <w:next w:val="1"/>
    <w:link w:val="60"/>
    <w:qFormat/>
    <w:uiPriority w:val="0"/>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61"/>
    <w:qFormat/>
    <w:uiPriority w:val="0"/>
    <w:pPr>
      <w:keepNext/>
      <w:keepLines/>
      <w:adjustRightInd w:val="0"/>
      <w:spacing w:before="280" w:after="290" w:line="376" w:lineRule="atLeast"/>
      <w:textAlignment w:val="baseline"/>
      <w:outlineLvl w:val="4"/>
    </w:pPr>
    <w:rPr>
      <w:b/>
      <w:kern w:val="0"/>
      <w:sz w:val="28"/>
    </w:rPr>
  </w:style>
  <w:style w:type="paragraph" w:styleId="7">
    <w:name w:val="heading 6"/>
    <w:basedOn w:val="1"/>
    <w:next w:val="1"/>
    <w:link w:val="62"/>
    <w:qFormat/>
    <w:uiPriority w:val="0"/>
    <w:pPr>
      <w:keepNext/>
      <w:keepLines/>
      <w:tabs>
        <w:tab w:val="left" w:pos="432"/>
        <w:tab w:val="left" w:pos="1152"/>
      </w:tabs>
      <w:spacing w:before="120" w:after="120" w:line="360" w:lineRule="auto"/>
      <w:ind w:left="1152"/>
      <w:contextualSpacing/>
      <w:jc w:val="left"/>
      <w:outlineLvl w:val="5"/>
    </w:pPr>
    <w:rPr>
      <w:rFonts w:ascii="Arial" w:hAnsi="Arial" w:eastAsia="黑体"/>
      <w:bCs/>
      <w:sz w:val="24"/>
    </w:rPr>
  </w:style>
  <w:style w:type="paragraph" w:styleId="8">
    <w:name w:val="heading 7"/>
    <w:basedOn w:val="1"/>
    <w:next w:val="1"/>
    <w:link w:val="63"/>
    <w:qFormat/>
    <w:uiPriority w:val="0"/>
    <w:pPr>
      <w:keepNext/>
      <w:keepLines/>
      <w:widowControl/>
      <w:spacing w:before="200" w:line="276" w:lineRule="auto"/>
      <w:jc w:val="left"/>
      <w:outlineLvl w:val="6"/>
    </w:pPr>
    <w:rPr>
      <w:rFonts w:ascii="Cambria" w:hAnsi="Cambria"/>
      <w:i/>
      <w:iCs/>
      <w:color w:val="404040"/>
      <w:kern w:val="0"/>
      <w:sz w:val="22"/>
      <w:szCs w:val="22"/>
      <w:lang w:eastAsia="en-US" w:bidi="en-US"/>
    </w:rPr>
  </w:style>
  <w:style w:type="paragraph" w:styleId="9">
    <w:name w:val="heading 8"/>
    <w:basedOn w:val="1"/>
    <w:next w:val="1"/>
    <w:link w:val="64"/>
    <w:qFormat/>
    <w:uiPriority w:val="0"/>
    <w:pPr>
      <w:keepNext/>
      <w:keepLines/>
      <w:widowControl/>
      <w:spacing w:before="200" w:line="276" w:lineRule="auto"/>
      <w:jc w:val="left"/>
      <w:outlineLvl w:val="7"/>
    </w:pPr>
    <w:rPr>
      <w:rFonts w:ascii="Cambria" w:hAnsi="Cambria"/>
      <w:color w:val="4F81BD"/>
      <w:kern w:val="0"/>
      <w:sz w:val="20"/>
      <w:szCs w:val="20"/>
      <w:lang w:eastAsia="en-US" w:bidi="en-US"/>
    </w:rPr>
  </w:style>
  <w:style w:type="paragraph" w:styleId="10">
    <w:name w:val="heading 9"/>
    <w:basedOn w:val="1"/>
    <w:next w:val="1"/>
    <w:link w:val="65"/>
    <w:qFormat/>
    <w:uiPriority w:val="0"/>
    <w:pPr>
      <w:keepNext/>
      <w:keepLines/>
      <w:widowControl/>
      <w:spacing w:before="200" w:line="276" w:lineRule="auto"/>
      <w:jc w:val="left"/>
      <w:outlineLvl w:val="8"/>
    </w:pPr>
    <w:rPr>
      <w:rFonts w:ascii="Cambria" w:hAnsi="Cambria"/>
      <w:i/>
      <w:iCs/>
      <w:color w:val="404040"/>
      <w:kern w:val="0"/>
      <w:sz w:val="20"/>
      <w:szCs w:val="20"/>
      <w:lang w:eastAsia="en-US" w:bidi="en-US"/>
    </w:rPr>
  </w:style>
  <w:style w:type="character" w:default="1" w:styleId="50">
    <w:name w:val="Default Paragraph Font"/>
    <w:qFormat/>
    <w:uiPriority w:val="0"/>
  </w:style>
  <w:style w:type="table" w:default="1" w:styleId="48">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link w:val="66"/>
    <w:qFormat/>
    <w:uiPriority w:val="0"/>
    <w:pPr>
      <w:tabs>
        <w:tab w:val="left" w:pos="750"/>
      </w:tabs>
      <w:spacing w:before="156" w:beforeLines="50" w:line="300" w:lineRule="auto"/>
      <w:ind w:firstLine="200" w:firstLineChars="200"/>
    </w:pPr>
    <w:rPr>
      <w:rFonts w:ascii="宋体"/>
      <w:szCs w:val="20"/>
    </w:rPr>
  </w:style>
  <w:style w:type="paragraph" w:styleId="13">
    <w:name w:val="caption"/>
    <w:basedOn w:val="1"/>
    <w:next w:val="1"/>
    <w:link w:val="67"/>
    <w:qFormat/>
    <w:uiPriority w:val="0"/>
    <w:pPr>
      <w:widowControl/>
      <w:spacing w:after="200"/>
      <w:jc w:val="left"/>
    </w:pPr>
    <w:rPr>
      <w:rFonts w:ascii="Calibri" w:hAnsi="Calibri"/>
      <w:b/>
      <w:bCs/>
      <w:color w:val="4F81BD"/>
      <w:kern w:val="0"/>
      <w:sz w:val="18"/>
      <w:szCs w:val="18"/>
      <w:lang w:eastAsia="en-US" w:bidi="en-US"/>
    </w:rPr>
  </w:style>
  <w:style w:type="paragraph" w:styleId="14">
    <w:name w:val="Document Map"/>
    <w:basedOn w:val="1"/>
    <w:link w:val="68"/>
    <w:qFormat/>
    <w:uiPriority w:val="0"/>
    <w:pPr>
      <w:shd w:val="clear" w:color="auto" w:fill="000080"/>
    </w:pPr>
  </w:style>
  <w:style w:type="paragraph" w:styleId="15">
    <w:name w:val="annotation text"/>
    <w:basedOn w:val="1"/>
    <w:link w:val="69"/>
    <w:unhideWhenUsed/>
    <w:qFormat/>
    <w:uiPriority w:val="0"/>
    <w:pPr>
      <w:widowControl/>
      <w:jc w:val="left"/>
    </w:pPr>
    <w:rPr>
      <w:rFonts w:ascii="宋体" w:hAnsi="宋体"/>
      <w:kern w:val="0"/>
      <w:sz w:val="24"/>
    </w:rPr>
  </w:style>
  <w:style w:type="paragraph" w:styleId="16">
    <w:name w:val="Salutation"/>
    <w:basedOn w:val="1"/>
    <w:next w:val="1"/>
    <w:link w:val="70"/>
    <w:unhideWhenUsed/>
    <w:qFormat/>
    <w:uiPriority w:val="99"/>
    <w:rPr>
      <w:rFonts w:ascii="楷体_GB2312" w:hAnsi="微软雅黑" w:eastAsia="楷体_GB2312"/>
      <w:sz w:val="28"/>
      <w:szCs w:val="28"/>
    </w:rPr>
  </w:style>
  <w:style w:type="paragraph" w:styleId="17">
    <w:name w:val="Body Text 3"/>
    <w:basedOn w:val="1"/>
    <w:link w:val="71"/>
    <w:qFormat/>
    <w:uiPriority w:val="0"/>
    <w:pPr>
      <w:spacing w:after="120"/>
    </w:pPr>
    <w:rPr>
      <w:sz w:val="16"/>
      <w:szCs w:val="16"/>
    </w:rPr>
  </w:style>
  <w:style w:type="paragraph" w:styleId="18">
    <w:name w:val="Closing"/>
    <w:basedOn w:val="1"/>
    <w:link w:val="72"/>
    <w:unhideWhenUsed/>
    <w:qFormat/>
    <w:uiPriority w:val="99"/>
    <w:pPr>
      <w:ind w:left="100" w:leftChars="2100"/>
    </w:pPr>
    <w:rPr>
      <w:rFonts w:ascii="楷体_GB2312" w:hAnsi="微软雅黑" w:eastAsia="楷体_GB2312"/>
      <w:sz w:val="28"/>
      <w:szCs w:val="28"/>
    </w:rPr>
  </w:style>
  <w:style w:type="paragraph" w:styleId="19">
    <w:name w:val="Body Text"/>
    <w:basedOn w:val="1"/>
    <w:next w:val="1"/>
    <w:link w:val="73"/>
    <w:qFormat/>
    <w:uiPriority w:val="0"/>
    <w:pPr>
      <w:adjustRightInd w:val="0"/>
      <w:spacing w:line="360" w:lineRule="auto"/>
    </w:pPr>
    <w:rPr>
      <w:rFonts w:ascii="宋体"/>
      <w:bCs/>
      <w:iCs/>
      <w:color w:val="FF00FF"/>
      <w:kern w:val="44"/>
      <w:sz w:val="28"/>
      <w:szCs w:val="20"/>
    </w:rPr>
  </w:style>
  <w:style w:type="paragraph" w:styleId="20">
    <w:name w:val="Body Text Indent"/>
    <w:basedOn w:val="1"/>
    <w:link w:val="74"/>
    <w:qFormat/>
    <w:uiPriority w:val="0"/>
    <w:pPr>
      <w:ind w:firstLine="200" w:firstLineChars="200"/>
      <w:jc w:val="left"/>
    </w:pPr>
    <w:rPr>
      <w:rFonts w:ascii="仿宋_GB2312" w:eastAsia="仿宋_GB2312"/>
      <w:sz w:val="28"/>
    </w:rPr>
  </w:style>
  <w:style w:type="paragraph" w:styleId="21">
    <w:name w:val="Block Text"/>
    <w:basedOn w:val="1"/>
    <w:qFormat/>
    <w:uiPriority w:val="0"/>
    <w:pPr>
      <w:widowControl/>
      <w:spacing w:after="120" w:line="276" w:lineRule="auto"/>
      <w:ind w:left="1440" w:leftChars="700" w:right="1440" w:rightChars="700"/>
      <w:jc w:val="left"/>
    </w:pPr>
    <w:rPr>
      <w:rFonts w:ascii="Calibri" w:hAnsi="Calibri"/>
      <w:kern w:val="0"/>
      <w:sz w:val="22"/>
      <w:szCs w:val="22"/>
      <w:lang w:eastAsia="en-US" w:bidi="en-US"/>
    </w:rPr>
  </w:style>
  <w:style w:type="paragraph" w:styleId="22">
    <w:name w:val="toc 5"/>
    <w:basedOn w:val="1"/>
    <w:next w:val="1"/>
    <w:qFormat/>
    <w:uiPriority w:val="39"/>
    <w:pPr>
      <w:ind w:left="800" w:leftChars="800"/>
    </w:pPr>
  </w:style>
  <w:style w:type="paragraph" w:styleId="23">
    <w:name w:val="toc 3"/>
    <w:basedOn w:val="1"/>
    <w:next w:val="1"/>
    <w:qFormat/>
    <w:uiPriority w:val="39"/>
    <w:pPr>
      <w:tabs>
        <w:tab w:val="right" w:leader="dot" w:pos="9515"/>
      </w:tabs>
      <w:ind w:left="400" w:leftChars="400"/>
    </w:pPr>
  </w:style>
  <w:style w:type="paragraph" w:styleId="24">
    <w:name w:val="Plain Text"/>
    <w:basedOn w:val="1"/>
    <w:next w:val="1"/>
    <w:link w:val="75"/>
    <w:qFormat/>
    <w:uiPriority w:val="0"/>
    <w:pPr>
      <w:autoSpaceDE w:val="0"/>
      <w:autoSpaceDN w:val="0"/>
      <w:adjustRightInd w:val="0"/>
      <w:jc w:val="left"/>
    </w:pPr>
    <w:rPr>
      <w:rFonts w:ascii="宋体"/>
      <w:kern w:val="0"/>
      <w:sz w:val="20"/>
    </w:rPr>
  </w:style>
  <w:style w:type="paragraph" w:styleId="25">
    <w:name w:val="toc 8"/>
    <w:basedOn w:val="1"/>
    <w:next w:val="1"/>
    <w:qFormat/>
    <w:uiPriority w:val="39"/>
    <w:pPr>
      <w:ind w:left="1400" w:leftChars="1400"/>
    </w:pPr>
  </w:style>
  <w:style w:type="paragraph" w:styleId="26">
    <w:name w:val="Date"/>
    <w:basedOn w:val="1"/>
    <w:next w:val="1"/>
    <w:link w:val="76"/>
    <w:qFormat/>
    <w:uiPriority w:val="0"/>
    <w:pPr>
      <w:ind w:left="2500" w:leftChars="2500"/>
    </w:pPr>
    <w:rPr>
      <w:rFonts w:ascii="仿宋_GB2312" w:eastAsia="仿宋_GB2312"/>
      <w:sz w:val="28"/>
    </w:rPr>
  </w:style>
  <w:style w:type="paragraph" w:styleId="27">
    <w:name w:val="Body Text Indent 2"/>
    <w:basedOn w:val="1"/>
    <w:qFormat/>
    <w:uiPriority w:val="0"/>
    <w:pPr>
      <w:spacing w:line="60" w:lineRule="auto"/>
      <w:ind w:firstLine="128" w:firstLineChars="128"/>
    </w:pPr>
    <w:rPr>
      <w:rFonts w:ascii="仿宋_GB2312" w:eastAsia="仿宋_GB2312"/>
      <w:sz w:val="28"/>
    </w:rPr>
  </w:style>
  <w:style w:type="paragraph" w:styleId="28">
    <w:name w:val="Balloon Text"/>
    <w:basedOn w:val="1"/>
    <w:link w:val="77"/>
    <w:qFormat/>
    <w:uiPriority w:val="99"/>
    <w:rPr>
      <w:sz w:val="18"/>
      <w:szCs w:val="18"/>
    </w:rPr>
  </w:style>
  <w:style w:type="paragraph" w:styleId="29">
    <w:name w:val="footer"/>
    <w:basedOn w:val="1"/>
    <w:link w:val="78"/>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30">
    <w:name w:val="header"/>
    <w:basedOn w:val="1"/>
    <w:link w:val="79"/>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31">
    <w:name w:val="toc 1"/>
    <w:basedOn w:val="1"/>
    <w:next w:val="1"/>
    <w:qFormat/>
    <w:uiPriority w:val="39"/>
  </w:style>
  <w:style w:type="paragraph" w:styleId="32">
    <w:name w:val="toc 4"/>
    <w:basedOn w:val="1"/>
    <w:next w:val="1"/>
    <w:qFormat/>
    <w:uiPriority w:val="39"/>
    <w:pPr>
      <w:ind w:left="600" w:leftChars="600"/>
    </w:pPr>
  </w:style>
  <w:style w:type="paragraph" w:styleId="33">
    <w:name w:val="index heading"/>
    <w:basedOn w:val="1"/>
    <w:next w:val="34"/>
    <w:qFormat/>
    <w:uiPriority w:val="0"/>
    <w:pPr>
      <w:pBdr>
        <w:top w:val="single" w:color="auto" w:sz="12" w:space="0"/>
      </w:pBdr>
      <w:spacing w:before="360" w:after="240"/>
      <w:jc w:val="left"/>
    </w:pPr>
    <w:rPr>
      <w:b/>
      <w:bCs/>
      <w:i/>
      <w:iCs/>
      <w:sz w:val="26"/>
      <w:szCs w:val="26"/>
    </w:rPr>
  </w:style>
  <w:style w:type="paragraph" w:styleId="34">
    <w:name w:val="index 1"/>
    <w:basedOn w:val="1"/>
    <w:next w:val="1"/>
    <w:qFormat/>
    <w:uiPriority w:val="0"/>
  </w:style>
  <w:style w:type="paragraph" w:styleId="35">
    <w:name w:val="Subtitle"/>
    <w:basedOn w:val="1"/>
    <w:next w:val="1"/>
    <w:link w:val="80"/>
    <w:qFormat/>
    <w:uiPriority w:val="0"/>
    <w:pPr>
      <w:widowControl/>
      <w:spacing w:after="200" w:line="276" w:lineRule="auto"/>
      <w:jc w:val="left"/>
    </w:pPr>
    <w:rPr>
      <w:rFonts w:ascii="Cambria" w:hAnsi="Cambria"/>
      <w:i/>
      <w:iCs/>
      <w:color w:val="4F81BD"/>
      <w:spacing w:val="15"/>
      <w:sz w:val="24"/>
    </w:rPr>
  </w:style>
  <w:style w:type="paragraph" w:styleId="36">
    <w:name w:val="List"/>
    <w:basedOn w:val="1"/>
    <w:qFormat/>
    <w:uiPriority w:val="0"/>
    <w:pPr>
      <w:spacing w:line="300" w:lineRule="auto"/>
      <w:ind w:left="620" w:hanging="420"/>
      <w:contextualSpacing/>
    </w:pPr>
    <w:rPr>
      <w:rFonts w:ascii="宋体" w:hAnsi="宋体"/>
    </w:rPr>
  </w:style>
  <w:style w:type="paragraph" w:styleId="37">
    <w:name w:val="toc 6"/>
    <w:basedOn w:val="1"/>
    <w:next w:val="1"/>
    <w:qFormat/>
    <w:uiPriority w:val="39"/>
    <w:pPr>
      <w:ind w:left="1000" w:leftChars="1000"/>
    </w:pPr>
  </w:style>
  <w:style w:type="paragraph" w:styleId="38">
    <w:name w:val="Body Text Indent 3"/>
    <w:basedOn w:val="1"/>
    <w:qFormat/>
    <w:uiPriority w:val="0"/>
    <w:pPr>
      <w:spacing w:line="360" w:lineRule="auto"/>
      <w:ind w:firstLine="192" w:firstLineChars="192"/>
    </w:pPr>
    <w:rPr>
      <w:rFonts w:ascii="仿宋_GB2312" w:eastAsia="仿宋_GB2312"/>
      <w:color w:val="3366FF"/>
      <w:sz w:val="24"/>
    </w:rPr>
  </w:style>
  <w:style w:type="paragraph" w:styleId="39">
    <w:name w:val="toc 2"/>
    <w:basedOn w:val="1"/>
    <w:next w:val="1"/>
    <w:qFormat/>
    <w:uiPriority w:val="39"/>
    <w:pPr>
      <w:ind w:left="60" w:firstLine="300"/>
    </w:pPr>
  </w:style>
  <w:style w:type="paragraph" w:styleId="40">
    <w:name w:val="toc 9"/>
    <w:basedOn w:val="1"/>
    <w:next w:val="1"/>
    <w:qFormat/>
    <w:uiPriority w:val="0"/>
    <w:pPr>
      <w:ind w:left="1600" w:leftChars="1600"/>
    </w:pPr>
  </w:style>
  <w:style w:type="paragraph" w:styleId="41">
    <w:name w:val="Body Text 2"/>
    <w:basedOn w:val="1"/>
    <w:qFormat/>
    <w:uiPriority w:val="0"/>
    <w:rPr>
      <w:rFonts w:ascii="宋体"/>
      <w:sz w:val="13"/>
      <w:szCs w:val="20"/>
    </w:rPr>
  </w:style>
  <w:style w:type="paragraph" w:styleId="42">
    <w:name w:val="HTML Preformatted"/>
    <w:basedOn w:val="1"/>
    <w:link w:val="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rPr>
  </w:style>
  <w:style w:type="paragraph" w:styleId="43">
    <w:name w:val="Normal (Web)"/>
    <w:basedOn w:val="1"/>
    <w:qFormat/>
    <w:uiPriority w:val="0"/>
    <w:pPr>
      <w:widowControl/>
      <w:spacing w:before="100" w:beforeAutospacing="1" w:after="100" w:afterAutospacing="1"/>
      <w:jc w:val="left"/>
    </w:pPr>
    <w:rPr>
      <w:rFonts w:ascii="宋体" w:hAnsi="宋体"/>
      <w:kern w:val="0"/>
      <w:sz w:val="24"/>
    </w:rPr>
  </w:style>
  <w:style w:type="paragraph" w:styleId="44">
    <w:name w:val="Title"/>
    <w:basedOn w:val="1"/>
    <w:next w:val="1"/>
    <w:link w:val="82"/>
    <w:qFormat/>
    <w:uiPriority w:val="0"/>
    <w:pPr>
      <w:widowControl/>
      <w:pBdr>
        <w:bottom w:val="single" w:color="4F81BD" w:sz="8" w:space="4"/>
      </w:pBdr>
      <w:spacing w:after="300"/>
      <w:jc w:val="left"/>
    </w:pPr>
    <w:rPr>
      <w:rFonts w:ascii="Cambria" w:hAnsi="Cambria"/>
      <w:color w:val="17365D"/>
      <w:spacing w:val="5"/>
      <w:kern w:val="28"/>
      <w:sz w:val="52"/>
      <w:szCs w:val="52"/>
    </w:rPr>
  </w:style>
  <w:style w:type="paragraph" w:styleId="45">
    <w:name w:val="annotation subject"/>
    <w:basedOn w:val="15"/>
    <w:next w:val="15"/>
    <w:link w:val="83"/>
    <w:unhideWhenUsed/>
    <w:qFormat/>
    <w:uiPriority w:val="0"/>
    <w:rPr>
      <w:b/>
      <w:bCs/>
    </w:rPr>
  </w:style>
  <w:style w:type="paragraph" w:styleId="46">
    <w:name w:val="Body Text First Indent"/>
    <w:basedOn w:val="19"/>
    <w:link w:val="84"/>
    <w:qFormat/>
    <w:uiPriority w:val="0"/>
    <w:pPr>
      <w:tabs>
        <w:tab w:val="center" w:pos="2185"/>
      </w:tabs>
      <w:adjustRightInd/>
      <w:spacing w:before="156" w:beforeLines="50" w:line="300" w:lineRule="auto"/>
      <w:ind w:firstLine="200" w:firstLineChars="200"/>
    </w:pPr>
    <w:rPr>
      <w:rFonts w:ascii="楷体_GB2312" w:eastAsia="楷体_GB2312"/>
      <w:bCs w:val="0"/>
      <w:iCs w:val="0"/>
      <w:color w:val="auto"/>
      <w:spacing w:val="4"/>
      <w:kern w:val="2"/>
      <w:sz w:val="21"/>
    </w:rPr>
  </w:style>
  <w:style w:type="paragraph" w:styleId="47">
    <w:name w:val="Body Text First Indent 2"/>
    <w:basedOn w:val="20"/>
    <w:qFormat/>
    <w:uiPriority w:val="0"/>
    <w:pPr>
      <w:adjustRightInd w:val="0"/>
      <w:spacing w:after="120" w:line="360" w:lineRule="auto"/>
      <w:ind w:left="420" w:firstLine="420"/>
      <w:textAlignment w:val="baseline"/>
    </w:pPr>
    <w:rPr>
      <w:rFonts w:ascii="宋体"/>
      <w:color w:val="000000"/>
      <w:spacing w:val="-4"/>
      <w:sz w:val="21"/>
    </w:rPr>
  </w:style>
  <w:style w:type="table" w:styleId="49">
    <w:name w:val="Table Grid"/>
    <w:basedOn w:val="4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22"/>
    <w:rPr>
      <w:b/>
      <w:bCs/>
    </w:rPr>
  </w:style>
  <w:style w:type="character" w:styleId="52">
    <w:name w:val="page number"/>
    <w:qFormat/>
    <w:uiPriority w:val="0"/>
  </w:style>
  <w:style w:type="character" w:styleId="53">
    <w:name w:val="FollowedHyperlink"/>
    <w:qFormat/>
    <w:uiPriority w:val="99"/>
    <w:rPr>
      <w:color w:val="333333"/>
      <w:u w:val="none"/>
    </w:rPr>
  </w:style>
  <w:style w:type="character" w:styleId="54">
    <w:name w:val="Emphasis"/>
    <w:qFormat/>
    <w:uiPriority w:val="20"/>
    <w:rPr>
      <w:i/>
      <w:iCs/>
    </w:rPr>
  </w:style>
  <w:style w:type="character" w:styleId="55">
    <w:name w:val="Hyperlink"/>
    <w:qFormat/>
    <w:uiPriority w:val="99"/>
    <w:rPr>
      <w:color w:val="333333"/>
      <w:u w:val="none"/>
    </w:rPr>
  </w:style>
  <w:style w:type="character" w:styleId="56">
    <w:name w:val="annotation reference"/>
    <w:unhideWhenUsed/>
    <w:qFormat/>
    <w:uiPriority w:val="0"/>
    <w:rPr>
      <w:sz w:val="21"/>
      <w:szCs w:val="21"/>
    </w:rPr>
  </w:style>
  <w:style w:type="character" w:customStyle="1" w:styleId="57">
    <w:name w:val="标题 1 字符"/>
    <w:link w:val="2"/>
    <w:qFormat/>
    <w:uiPriority w:val="9"/>
    <w:rPr>
      <w:rFonts w:ascii="仿宋_GB2312" w:eastAsia="仿宋_GB2312"/>
      <w:b/>
      <w:bCs/>
      <w:color w:val="000000"/>
      <w:sz w:val="28"/>
    </w:rPr>
  </w:style>
  <w:style w:type="character" w:customStyle="1" w:styleId="58">
    <w:name w:val="标题 2 字符1"/>
    <w:link w:val="3"/>
    <w:qFormat/>
    <w:uiPriority w:val="0"/>
    <w:rPr>
      <w:rFonts w:ascii="Arial" w:hAnsi="Arial"/>
      <w:b/>
      <w:bCs/>
      <w:kern w:val="2"/>
      <w:sz w:val="28"/>
      <w:szCs w:val="32"/>
    </w:rPr>
  </w:style>
  <w:style w:type="character" w:customStyle="1" w:styleId="59">
    <w:name w:val="标题 3 字符"/>
    <w:link w:val="4"/>
    <w:qFormat/>
    <w:uiPriority w:val="0"/>
    <w:rPr>
      <w:rFonts w:ascii="宋体"/>
      <w:b/>
      <w:bCs/>
      <w:kern w:val="2"/>
      <w:sz w:val="24"/>
      <w:szCs w:val="32"/>
    </w:rPr>
  </w:style>
  <w:style w:type="character" w:customStyle="1" w:styleId="60">
    <w:name w:val="标题 4 字符"/>
    <w:link w:val="5"/>
    <w:qFormat/>
    <w:uiPriority w:val="0"/>
    <w:rPr>
      <w:rFonts w:ascii="等线 Light" w:hAnsi="等线 Light" w:eastAsia="等线 Light" w:cs="Times New Roman"/>
      <w:b/>
      <w:bCs/>
      <w:kern w:val="2"/>
      <w:sz w:val="28"/>
      <w:szCs w:val="28"/>
    </w:rPr>
  </w:style>
  <w:style w:type="character" w:customStyle="1" w:styleId="61">
    <w:name w:val="标题 5 字符"/>
    <w:link w:val="6"/>
    <w:qFormat/>
    <w:uiPriority w:val="0"/>
    <w:rPr>
      <w:b/>
      <w:sz w:val="28"/>
      <w:szCs w:val="24"/>
    </w:rPr>
  </w:style>
  <w:style w:type="character" w:customStyle="1" w:styleId="62">
    <w:name w:val="标题 6 字符1"/>
    <w:link w:val="7"/>
    <w:qFormat/>
    <w:uiPriority w:val="0"/>
    <w:rPr>
      <w:rFonts w:ascii="Arial" w:hAnsi="Arial" w:eastAsia="黑体"/>
      <w:bCs/>
      <w:kern w:val="2"/>
      <w:sz w:val="24"/>
      <w:szCs w:val="24"/>
    </w:rPr>
  </w:style>
  <w:style w:type="character" w:customStyle="1" w:styleId="63">
    <w:name w:val="标题 7 字符"/>
    <w:link w:val="8"/>
    <w:qFormat/>
    <w:uiPriority w:val="0"/>
    <w:rPr>
      <w:rFonts w:ascii="Cambria" w:hAnsi="Cambria"/>
      <w:i/>
      <w:iCs/>
      <w:color w:val="404040"/>
      <w:sz w:val="22"/>
      <w:szCs w:val="22"/>
      <w:lang w:eastAsia="en-US" w:bidi="en-US"/>
    </w:rPr>
  </w:style>
  <w:style w:type="character" w:customStyle="1" w:styleId="64">
    <w:name w:val="标题 8 字符"/>
    <w:link w:val="9"/>
    <w:qFormat/>
    <w:uiPriority w:val="0"/>
    <w:rPr>
      <w:rFonts w:ascii="Cambria" w:hAnsi="Cambria"/>
      <w:color w:val="4F81BD"/>
      <w:lang w:eastAsia="en-US" w:bidi="en-US"/>
    </w:rPr>
  </w:style>
  <w:style w:type="character" w:customStyle="1" w:styleId="65">
    <w:name w:val="标题 9 字符"/>
    <w:link w:val="10"/>
    <w:qFormat/>
    <w:uiPriority w:val="0"/>
    <w:rPr>
      <w:rFonts w:ascii="Cambria" w:hAnsi="Cambria"/>
      <w:i/>
      <w:iCs/>
      <w:color w:val="404040"/>
      <w:lang w:eastAsia="en-US" w:bidi="en-US"/>
    </w:rPr>
  </w:style>
  <w:style w:type="character" w:customStyle="1" w:styleId="66">
    <w:name w:val="正文缩进 字符1"/>
    <w:link w:val="12"/>
    <w:qFormat/>
    <w:uiPriority w:val="0"/>
    <w:rPr>
      <w:rFonts w:ascii="宋体"/>
      <w:kern w:val="2"/>
      <w:sz w:val="21"/>
    </w:rPr>
  </w:style>
  <w:style w:type="character" w:customStyle="1" w:styleId="67">
    <w:name w:val="题注 字符"/>
    <w:link w:val="13"/>
    <w:qFormat/>
    <w:uiPriority w:val="0"/>
    <w:rPr>
      <w:rFonts w:ascii="Calibri" w:hAnsi="Calibri"/>
      <w:b/>
      <w:bCs/>
      <w:color w:val="4F81BD"/>
      <w:sz w:val="18"/>
      <w:szCs w:val="18"/>
      <w:lang w:eastAsia="en-US" w:bidi="en-US"/>
    </w:rPr>
  </w:style>
  <w:style w:type="character" w:customStyle="1" w:styleId="68">
    <w:name w:val="文档结构图 字符"/>
    <w:link w:val="14"/>
    <w:qFormat/>
    <w:uiPriority w:val="0"/>
    <w:rPr>
      <w:kern w:val="2"/>
      <w:sz w:val="21"/>
      <w:szCs w:val="24"/>
      <w:shd w:val="clear" w:color="auto" w:fill="000080"/>
    </w:rPr>
  </w:style>
  <w:style w:type="character" w:customStyle="1" w:styleId="69">
    <w:name w:val="批注文字 字符"/>
    <w:link w:val="15"/>
    <w:qFormat/>
    <w:uiPriority w:val="0"/>
    <w:rPr>
      <w:rFonts w:ascii="宋体" w:hAnsi="宋体" w:cs="宋体"/>
      <w:sz w:val="24"/>
      <w:szCs w:val="24"/>
    </w:rPr>
  </w:style>
  <w:style w:type="character" w:customStyle="1" w:styleId="70">
    <w:name w:val="称呼 字符"/>
    <w:link w:val="16"/>
    <w:qFormat/>
    <w:uiPriority w:val="99"/>
    <w:rPr>
      <w:rFonts w:ascii="楷体_GB2312" w:hAnsi="微软雅黑" w:eastAsia="楷体_GB2312"/>
      <w:kern w:val="2"/>
      <w:sz w:val="28"/>
      <w:szCs w:val="28"/>
    </w:rPr>
  </w:style>
  <w:style w:type="character" w:customStyle="1" w:styleId="71">
    <w:name w:val="正文文本 3 字符1"/>
    <w:link w:val="17"/>
    <w:qFormat/>
    <w:uiPriority w:val="0"/>
    <w:rPr>
      <w:kern w:val="2"/>
      <w:sz w:val="16"/>
      <w:szCs w:val="16"/>
    </w:rPr>
  </w:style>
  <w:style w:type="character" w:customStyle="1" w:styleId="72">
    <w:name w:val="结束语 字符"/>
    <w:link w:val="18"/>
    <w:qFormat/>
    <w:uiPriority w:val="99"/>
    <w:rPr>
      <w:rFonts w:ascii="楷体_GB2312" w:hAnsi="微软雅黑" w:eastAsia="楷体_GB2312"/>
      <w:kern w:val="2"/>
      <w:sz w:val="28"/>
      <w:szCs w:val="28"/>
    </w:rPr>
  </w:style>
  <w:style w:type="character" w:customStyle="1" w:styleId="73">
    <w:name w:val="正文文本 字符"/>
    <w:link w:val="19"/>
    <w:qFormat/>
    <w:uiPriority w:val="0"/>
    <w:rPr>
      <w:rFonts w:ascii="宋体"/>
      <w:bCs/>
      <w:iCs/>
      <w:color w:val="FF00FF"/>
      <w:kern w:val="44"/>
      <w:sz w:val="28"/>
    </w:rPr>
  </w:style>
  <w:style w:type="character" w:customStyle="1" w:styleId="74">
    <w:name w:val="正文文本缩进 字符"/>
    <w:link w:val="20"/>
    <w:qFormat/>
    <w:uiPriority w:val="0"/>
    <w:rPr>
      <w:rFonts w:ascii="仿宋_GB2312" w:eastAsia="仿宋_GB2312"/>
      <w:kern w:val="2"/>
      <w:sz w:val="28"/>
      <w:szCs w:val="24"/>
    </w:rPr>
  </w:style>
  <w:style w:type="character" w:customStyle="1" w:styleId="75">
    <w:name w:val="纯文本 字符2"/>
    <w:link w:val="24"/>
    <w:qFormat/>
    <w:uiPriority w:val="0"/>
    <w:rPr>
      <w:rFonts w:ascii="宋体"/>
      <w:szCs w:val="24"/>
    </w:rPr>
  </w:style>
  <w:style w:type="character" w:customStyle="1" w:styleId="76">
    <w:name w:val="日期 字符"/>
    <w:link w:val="26"/>
    <w:qFormat/>
    <w:uiPriority w:val="0"/>
    <w:rPr>
      <w:rFonts w:ascii="仿宋_GB2312" w:eastAsia="仿宋_GB2312"/>
      <w:kern w:val="2"/>
      <w:sz w:val="28"/>
      <w:szCs w:val="24"/>
    </w:rPr>
  </w:style>
  <w:style w:type="character" w:customStyle="1" w:styleId="77">
    <w:name w:val="批注框文本 字符"/>
    <w:link w:val="28"/>
    <w:qFormat/>
    <w:uiPriority w:val="99"/>
    <w:rPr>
      <w:kern w:val="2"/>
      <w:sz w:val="18"/>
      <w:szCs w:val="18"/>
    </w:rPr>
  </w:style>
  <w:style w:type="character" w:customStyle="1" w:styleId="78">
    <w:name w:val="页脚 字符1"/>
    <w:link w:val="29"/>
    <w:qFormat/>
    <w:uiPriority w:val="99"/>
    <w:rPr>
      <w:sz w:val="18"/>
    </w:rPr>
  </w:style>
  <w:style w:type="character" w:customStyle="1" w:styleId="79">
    <w:name w:val="页眉 字符"/>
    <w:link w:val="30"/>
    <w:qFormat/>
    <w:uiPriority w:val="99"/>
    <w:rPr>
      <w:sz w:val="18"/>
    </w:rPr>
  </w:style>
  <w:style w:type="character" w:customStyle="1" w:styleId="80">
    <w:name w:val="副标题 字符"/>
    <w:link w:val="35"/>
    <w:qFormat/>
    <w:uiPriority w:val="0"/>
    <w:rPr>
      <w:rFonts w:ascii="Cambria" w:hAnsi="Cambria"/>
      <w:i/>
      <w:iCs/>
      <w:color w:val="4F81BD"/>
      <w:spacing w:val="15"/>
      <w:kern w:val="2"/>
      <w:sz w:val="24"/>
      <w:szCs w:val="24"/>
    </w:rPr>
  </w:style>
  <w:style w:type="character" w:customStyle="1" w:styleId="81">
    <w:name w:val="HTML 预设格式 字符"/>
    <w:link w:val="42"/>
    <w:qFormat/>
    <w:uiPriority w:val="99"/>
    <w:rPr>
      <w:rFonts w:ascii="Arial" w:hAnsi="Arial"/>
      <w:kern w:val="2"/>
      <w:sz w:val="24"/>
      <w:szCs w:val="24"/>
    </w:rPr>
  </w:style>
  <w:style w:type="character" w:customStyle="1" w:styleId="82">
    <w:name w:val="标题 字符"/>
    <w:link w:val="44"/>
    <w:qFormat/>
    <w:uiPriority w:val="0"/>
    <w:rPr>
      <w:rFonts w:ascii="Cambria" w:hAnsi="Cambria"/>
      <w:color w:val="17365D"/>
      <w:spacing w:val="5"/>
      <w:kern w:val="28"/>
      <w:sz w:val="52"/>
      <w:szCs w:val="52"/>
    </w:rPr>
  </w:style>
  <w:style w:type="character" w:customStyle="1" w:styleId="83">
    <w:name w:val="批注主题 字符"/>
    <w:link w:val="45"/>
    <w:qFormat/>
    <w:uiPriority w:val="0"/>
    <w:rPr>
      <w:rFonts w:ascii="宋体" w:hAnsi="宋体" w:cs="宋体"/>
      <w:b/>
      <w:bCs/>
      <w:sz w:val="24"/>
      <w:szCs w:val="24"/>
    </w:rPr>
  </w:style>
  <w:style w:type="character" w:customStyle="1" w:styleId="84">
    <w:name w:val="正文文本首行缩进 字符"/>
    <w:link w:val="46"/>
    <w:qFormat/>
    <w:uiPriority w:val="0"/>
    <w:rPr>
      <w:rFonts w:ascii="楷体_GB2312" w:eastAsia="楷体_GB2312"/>
      <w:spacing w:val="4"/>
      <w:kern w:val="2"/>
      <w:sz w:val="21"/>
    </w:rPr>
  </w:style>
  <w:style w:type="character" w:customStyle="1" w:styleId="85">
    <w:name w:val="标题 2 字符"/>
    <w:qFormat/>
    <w:uiPriority w:val="9"/>
    <w:rPr>
      <w:rFonts w:ascii="Cambria" w:hAnsi="Cambria" w:eastAsia="宋体" w:cs="Times New Roman"/>
      <w:b/>
      <w:bCs/>
      <w:kern w:val="0"/>
      <w:sz w:val="32"/>
      <w:szCs w:val="32"/>
    </w:rPr>
  </w:style>
  <w:style w:type="character" w:customStyle="1" w:styleId="86">
    <w:name w:val="正文文本 3 字符"/>
    <w:qFormat/>
    <w:uiPriority w:val="0"/>
    <w:rPr>
      <w:kern w:val="2"/>
      <w:sz w:val="16"/>
      <w:szCs w:val="16"/>
    </w:rPr>
  </w:style>
  <w:style w:type="paragraph" w:customStyle="1" w:styleId="87">
    <w:name w:val="BodyText"/>
    <w:basedOn w:val="1"/>
    <w:next w:val="1"/>
    <w:qFormat/>
    <w:uiPriority w:val="0"/>
    <w:pPr>
      <w:spacing w:after="120"/>
    </w:pPr>
  </w:style>
  <w:style w:type="character" w:customStyle="1" w:styleId="88">
    <w:name w:val="方案正文 Char"/>
    <w:link w:val="89"/>
    <w:qFormat/>
    <w:locked/>
    <w:uiPriority w:val="0"/>
    <w:rPr>
      <w:rFonts w:ascii="Arial" w:hAnsi="Arial" w:cs="宋体"/>
      <w:sz w:val="24"/>
      <w:szCs w:val="21"/>
    </w:rPr>
  </w:style>
  <w:style w:type="paragraph" w:customStyle="1" w:styleId="89">
    <w:name w:val="方案正文"/>
    <w:basedOn w:val="1"/>
    <w:link w:val="88"/>
    <w:qFormat/>
    <w:uiPriority w:val="0"/>
    <w:pPr>
      <w:spacing w:before="156" w:line="360" w:lineRule="auto"/>
      <w:ind w:firstLine="359" w:firstLineChars="171"/>
      <w:jc w:val="left"/>
    </w:pPr>
    <w:rPr>
      <w:rFonts w:ascii="Arial" w:hAnsi="Arial"/>
      <w:kern w:val="0"/>
      <w:sz w:val="24"/>
      <w:szCs w:val="21"/>
    </w:rPr>
  </w:style>
  <w:style w:type="character" w:customStyle="1" w:styleId="90">
    <w:name w:val="明显引用 字符1"/>
    <w:qFormat/>
    <w:uiPriority w:val="99"/>
    <w:rPr>
      <w:i/>
      <w:iCs/>
      <w:color w:val="5B9BD5"/>
      <w:kern w:val="2"/>
      <w:sz w:val="21"/>
      <w:szCs w:val="24"/>
    </w:rPr>
  </w:style>
  <w:style w:type="character" w:customStyle="1" w:styleId="91">
    <w:name w:val="引用 字符"/>
    <w:link w:val="92"/>
    <w:qFormat/>
    <w:uiPriority w:val="29"/>
    <w:rPr>
      <w:i/>
      <w:iCs/>
      <w:color w:val="000000"/>
    </w:rPr>
  </w:style>
  <w:style w:type="paragraph" w:styleId="92">
    <w:name w:val="Quote"/>
    <w:basedOn w:val="1"/>
    <w:next w:val="1"/>
    <w:link w:val="91"/>
    <w:qFormat/>
    <w:uiPriority w:val="29"/>
    <w:pPr>
      <w:widowControl/>
      <w:spacing w:after="200" w:line="276" w:lineRule="auto"/>
      <w:jc w:val="left"/>
    </w:pPr>
    <w:rPr>
      <w:i/>
      <w:iCs/>
      <w:color w:val="000000"/>
      <w:kern w:val="0"/>
      <w:sz w:val="20"/>
      <w:szCs w:val="20"/>
    </w:rPr>
  </w:style>
  <w:style w:type="character" w:customStyle="1" w:styleId="93">
    <w:name w:val="标题 1 Char1"/>
    <w:qFormat/>
    <w:uiPriority w:val="0"/>
    <w:rPr>
      <w:b/>
      <w:bCs/>
      <w:kern w:val="44"/>
      <w:sz w:val="44"/>
      <w:szCs w:val="44"/>
    </w:rPr>
  </w:style>
  <w:style w:type="character" w:customStyle="1" w:styleId="94">
    <w:name w:val="页码1"/>
    <w:qFormat/>
    <w:uiPriority w:val="0"/>
    <w:rPr>
      <w:rFonts w:cs="Times New Roman"/>
      <w:sz w:val="20"/>
    </w:rPr>
  </w:style>
  <w:style w:type="character" w:customStyle="1" w:styleId="95">
    <w:name w:val="明显强调1"/>
    <w:qFormat/>
    <w:uiPriority w:val="21"/>
    <w:rPr>
      <w:b/>
      <w:bCs/>
      <w:i/>
      <w:iCs/>
      <w:color w:val="4F81BD"/>
    </w:rPr>
  </w:style>
  <w:style w:type="character" w:customStyle="1" w:styleId="96">
    <w:name w:val="正文样式 Char"/>
    <w:link w:val="97"/>
    <w:qFormat/>
    <w:locked/>
    <w:uiPriority w:val="0"/>
    <w:rPr>
      <w:sz w:val="24"/>
      <w:szCs w:val="24"/>
    </w:rPr>
  </w:style>
  <w:style w:type="paragraph" w:customStyle="1" w:styleId="97">
    <w:name w:val="正文样式"/>
    <w:basedOn w:val="1"/>
    <w:link w:val="96"/>
    <w:qFormat/>
    <w:uiPriority w:val="0"/>
    <w:pPr>
      <w:spacing w:line="360" w:lineRule="auto"/>
      <w:ind w:firstLine="420"/>
    </w:pPr>
    <w:rPr>
      <w:kern w:val="0"/>
      <w:sz w:val="24"/>
    </w:rPr>
  </w:style>
  <w:style w:type="character" w:customStyle="1" w:styleId="98">
    <w:name w:val="标注图片 Char"/>
    <w:link w:val="99"/>
    <w:qFormat/>
    <w:locked/>
    <w:uiPriority w:val="0"/>
    <w:rPr>
      <w:rFonts w:ascii="宋体" w:hAnsi="宋体"/>
      <w:szCs w:val="21"/>
    </w:rPr>
  </w:style>
  <w:style w:type="paragraph" w:customStyle="1" w:styleId="99">
    <w:name w:val="标注图片"/>
    <w:basedOn w:val="1"/>
    <w:link w:val="98"/>
    <w:qFormat/>
    <w:uiPriority w:val="0"/>
    <w:pPr>
      <w:jc w:val="center"/>
    </w:pPr>
    <w:rPr>
      <w:rFonts w:ascii="宋体" w:hAnsi="宋体"/>
      <w:kern w:val="0"/>
      <w:sz w:val="20"/>
      <w:szCs w:val="21"/>
    </w:rPr>
  </w:style>
  <w:style w:type="character" w:customStyle="1" w:styleId="100">
    <w:name w:val="para1"/>
    <w:qFormat/>
    <w:uiPriority w:val="0"/>
    <w:rPr>
      <w:rFonts w:hint="default" w:ascii="Arial" w:hAnsi="Arial" w:cs="Arial"/>
      <w:sz w:val="18"/>
      <w:szCs w:val="18"/>
    </w:rPr>
  </w:style>
  <w:style w:type="character" w:customStyle="1" w:styleId="101">
    <w:name w:val="段 Char Char Char Char Char Char"/>
    <w:qFormat/>
    <w:uiPriority w:val="0"/>
    <w:rPr>
      <w:rFonts w:ascii="宋体"/>
      <w:kern w:val="2"/>
      <w:sz w:val="21"/>
      <w:szCs w:val="24"/>
      <w:lang w:val="en-US" w:eastAsia="zh-CN" w:bidi="ar-SA"/>
    </w:rPr>
  </w:style>
  <w:style w:type="character" w:customStyle="1" w:styleId="102">
    <w:name w:val="图片 Char"/>
    <w:link w:val="103"/>
    <w:qFormat/>
    <w:locked/>
    <w:uiPriority w:val="0"/>
    <w:rPr>
      <w:sz w:val="24"/>
      <w:szCs w:val="24"/>
      <w:lang w:val="en-US" w:eastAsia="zh-CN" w:bidi="ar-SA"/>
    </w:rPr>
  </w:style>
  <w:style w:type="paragraph" w:customStyle="1" w:styleId="103">
    <w:name w:val="图片"/>
    <w:next w:val="1"/>
    <w:link w:val="102"/>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104">
    <w:name w:val="图片-名称 Char"/>
    <w:link w:val="105"/>
    <w:qFormat/>
    <w:locked/>
    <w:uiPriority w:val="0"/>
    <w:rPr>
      <w:szCs w:val="24"/>
      <w:lang w:val="en-US" w:eastAsia="zh-CN" w:bidi="ar-SA"/>
    </w:rPr>
  </w:style>
  <w:style w:type="paragraph" w:customStyle="1" w:styleId="105">
    <w:name w:val="图片-名称"/>
    <w:next w:val="1"/>
    <w:link w:val="104"/>
    <w:qFormat/>
    <w:uiPriority w:val="0"/>
    <w:pPr>
      <w:contextualSpacing/>
      <w:jc w:val="center"/>
    </w:pPr>
    <w:rPr>
      <w:rFonts w:ascii="Times New Roman" w:hAnsi="Times New Roman" w:eastAsia="宋体" w:cs="Times New Roman"/>
      <w:szCs w:val="24"/>
      <w:lang w:val="en-US" w:eastAsia="zh-CN" w:bidi="ar-SA"/>
    </w:rPr>
  </w:style>
  <w:style w:type="character" w:customStyle="1" w:styleId="106">
    <w:name w:val="纯文本 字符"/>
    <w:qFormat/>
    <w:uiPriority w:val="0"/>
    <w:rPr>
      <w:rFonts w:ascii="宋体" w:eastAsia="宋体"/>
      <w:kern w:val="2"/>
      <w:sz w:val="21"/>
      <w:lang w:val="en-US" w:eastAsia="zh-CN" w:bidi="ar-SA"/>
    </w:rPr>
  </w:style>
  <w:style w:type="character" w:customStyle="1" w:styleId="107">
    <w:name w:val="图片标注 Char"/>
    <w:link w:val="108"/>
    <w:qFormat/>
    <w:locked/>
    <w:uiPriority w:val="0"/>
    <w:rPr>
      <w:szCs w:val="24"/>
    </w:rPr>
  </w:style>
  <w:style w:type="paragraph" w:customStyle="1" w:styleId="108">
    <w:name w:val="图片标注"/>
    <w:basedOn w:val="1"/>
    <w:link w:val="107"/>
    <w:qFormat/>
    <w:uiPriority w:val="0"/>
    <w:pPr>
      <w:jc w:val="center"/>
    </w:pPr>
    <w:rPr>
      <w:kern w:val="0"/>
      <w:sz w:val="20"/>
    </w:rPr>
  </w:style>
  <w:style w:type="character" w:customStyle="1" w:styleId="109">
    <w:name w:val="font61"/>
    <w:qFormat/>
    <w:uiPriority w:val="0"/>
    <w:rPr>
      <w:rFonts w:hint="eastAsia" w:ascii="宋体" w:hAnsi="宋体" w:eastAsia="宋体" w:cs="宋体"/>
      <w:color w:val="000000"/>
      <w:sz w:val="24"/>
      <w:szCs w:val="24"/>
      <w:u w:val="none"/>
    </w:rPr>
  </w:style>
  <w:style w:type="character" w:customStyle="1" w:styleId="110">
    <w:name w:val="符号3 Char"/>
    <w:link w:val="111"/>
    <w:qFormat/>
    <w:locked/>
    <w:uiPriority w:val="0"/>
    <w:rPr>
      <w:sz w:val="24"/>
      <w:szCs w:val="24"/>
    </w:rPr>
  </w:style>
  <w:style w:type="paragraph" w:customStyle="1" w:styleId="111">
    <w:name w:val="符号3"/>
    <w:basedOn w:val="1"/>
    <w:link w:val="110"/>
    <w:qFormat/>
    <w:uiPriority w:val="0"/>
    <w:pPr>
      <w:spacing w:line="360" w:lineRule="auto"/>
      <w:ind w:left="900" w:hanging="420"/>
      <w:contextualSpacing/>
      <w:jc w:val="left"/>
    </w:pPr>
    <w:rPr>
      <w:kern w:val="0"/>
      <w:sz w:val="24"/>
    </w:rPr>
  </w:style>
  <w:style w:type="character" w:customStyle="1" w:styleId="112">
    <w:name w:val="ytb-text2"/>
    <w:qFormat/>
    <w:uiPriority w:val="0"/>
  </w:style>
  <w:style w:type="character" w:customStyle="1" w:styleId="113">
    <w:name w:val="副标题 Char1"/>
    <w:qFormat/>
    <w:uiPriority w:val="11"/>
    <w:rPr>
      <w:rFonts w:ascii="Cambria" w:hAnsi="Cambria" w:eastAsia="宋体" w:cs="Times New Roman"/>
      <w:b/>
      <w:bCs/>
      <w:kern w:val="28"/>
      <w:sz w:val="32"/>
      <w:szCs w:val="32"/>
    </w:rPr>
  </w:style>
  <w:style w:type="character" w:customStyle="1" w:styleId="114">
    <w:name w:val="小标题 Char"/>
    <w:link w:val="115"/>
    <w:qFormat/>
    <w:locked/>
    <w:uiPriority w:val="0"/>
    <w:rPr>
      <w:b/>
      <w:sz w:val="30"/>
      <w:szCs w:val="24"/>
    </w:rPr>
  </w:style>
  <w:style w:type="paragraph" w:customStyle="1" w:styleId="115">
    <w:name w:val="小标题"/>
    <w:basedOn w:val="1"/>
    <w:link w:val="114"/>
    <w:qFormat/>
    <w:uiPriority w:val="0"/>
    <w:pPr>
      <w:snapToGrid w:val="0"/>
      <w:spacing w:before="80" w:after="50" w:line="480" w:lineRule="atLeast"/>
    </w:pPr>
    <w:rPr>
      <w:b/>
      <w:kern w:val="0"/>
      <w:sz w:val="30"/>
    </w:rPr>
  </w:style>
  <w:style w:type="character" w:customStyle="1" w:styleId="116">
    <w:name w:val="列出段落 字符"/>
    <w:qFormat/>
    <w:locked/>
    <w:uiPriority w:val="34"/>
    <w:rPr>
      <w:rFonts w:ascii="Calibri" w:hAnsi="Calibri" w:eastAsia="宋体" w:cs="Times New Roman"/>
    </w:rPr>
  </w:style>
  <w:style w:type="character" w:customStyle="1" w:styleId="117">
    <w:name w:val="Std.Z.2 Char"/>
    <w:link w:val="118"/>
    <w:qFormat/>
    <w:locked/>
    <w:uiPriority w:val="0"/>
    <w:rPr>
      <w:rFonts w:ascii="宋体" w:hAnsi="宋体" w:cs="宋体"/>
      <w:sz w:val="24"/>
      <w:szCs w:val="24"/>
    </w:rPr>
  </w:style>
  <w:style w:type="paragraph" w:customStyle="1" w:styleId="118">
    <w:name w:val="Std.Z.2"/>
    <w:basedOn w:val="1"/>
    <w:link w:val="117"/>
    <w:qFormat/>
    <w:uiPriority w:val="0"/>
    <w:pPr>
      <w:spacing w:beforeLines="50" w:line="360" w:lineRule="auto"/>
      <w:ind w:left="576" w:hanging="576"/>
    </w:pPr>
    <w:rPr>
      <w:rFonts w:ascii="宋体" w:hAnsi="宋体"/>
      <w:kern w:val="0"/>
      <w:sz w:val="24"/>
    </w:rPr>
  </w:style>
  <w:style w:type="character" w:customStyle="1" w:styleId="119">
    <w:name w:val="纯文本 Char1"/>
    <w:qFormat/>
    <w:uiPriority w:val="0"/>
    <w:rPr>
      <w:rFonts w:ascii="宋体"/>
      <w:szCs w:val="24"/>
    </w:rPr>
  </w:style>
  <w:style w:type="character" w:customStyle="1" w:styleId="120">
    <w:name w:val="圆点标号 Char"/>
    <w:link w:val="121"/>
    <w:qFormat/>
    <w:locked/>
    <w:uiPriority w:val="0"/>
    <w:rPr>
      <w:sz w:val="24"/>
      <w:szCs w:val="24"/>
    </w:rPr>
  </w:style>
  <w:style w:type="paragraph" w:customStyle="1" w:styleId="121">
    <w:name w:val="圆点标号"/>
    <w:basedOn w:val="1"/>
    <w:link w:val="120"/>
    <w:qFormat/>
    <w:uiPriority w:val="0"/>
    <w:pPr>
      <w:spacing w:line="360" w:lineRule="auto"/>
    </w:pPr>
    <w:rPr>
      <w:kern w:val="0"/>
      <w:sz w:val="24"/>
    </w:rPr>
  </w:style>
  <w:style w:type="character" w:customStyle="1" w:styleId="122">
    <w:name w:val="纯文本 字符1"/>
    <w:qFormat/>
    <w:uiPriority w:val="0"/>
    <w:rPr>
      <w:rFonts w:ascii="宋体"/>
      <w:kern w:val="2"/>
      <w:sz w:val="21"/>
    </w:rPr>
  </w:style>
  <w:style w:type="character" w:customStyle="1" w:styleId="123">
    <w:name w:val="正文首行缩进（绿盟科技） Char"/>
    <w:link w:val="124"/>
    <w:qFormat/>
    <w:locked/>
    <w:uiPriority w:val="0"/>
    <w:rPr>
      <w:rFonts w:ascii="Arial" w:hAnsi="Arial" w:cs="Arial"/>
      <w:szCs w:val="21"/>
    </w:rPr>
  </w:style>
  <w:style w:type="paragraph" w:customStyle="1" w:styleId="124">
    <w:name w:val="正文首行缩进（绿盟科技）"/>
    <w:basedOn w:val="1"/>
    <w:link w:val="123"/>
    <w:qFormat/>
    <w:uiPriority w:val="0"/>
    <w:pPr>
      <w:widowControl/>
      <w:spacing w:after="50" w:line="300" w:lineRule="auto"/>
      <w:ind w:firstLine="200" w:firstLineChars="200"/>
      <w:jc w:val="left"/>
    </w:pPr>
    <w:rPr>
      <w:rFonts w:ascii="Arial" w:hAnsi="Arial"/>
      <w:kern w:val="0"/>
      <w:sz w:val="20"/>
      <w:szCs w:val="21"/>
    </w:rPr>
  </w:style>
  <w:style w:type="character" w:customStyle="1" w:styleId="125">
    <w:name w:val="书籍标题1"/>
    <w:qFormat/>
    <w:uiPriority w:val="33"/>
    <w:rPr>
      <w:b/>
      <w:bCs/>
      <w:smallCaps/>
      <w:spacing w:val="5"/>
    </w:rPr>
  </w:style>
  <w:style w:type="character" w:customStyle="1" w:styleId="126">
    <w:name w:val="五级目录 Char"/>
    <w:link w:val="127"/>
    <w:qFormat/>
    <w:locked/>
    <w:uiPriority w:val="99"/>
    <w:rPr>
      <w:b/>
      <w:bCs/>
      <w:color w:val="000000"/>
      <w:sz w:val="24"/>
      <w:szCs w:val="24"/>
    </w:rPr>
  </w:style>
  <w:style w:type="paragraph" w:customStyle="1" w:styleId="127">
    <w:name w:val="五级目录"/>
    <w:basedOn w:val="6"/>
    <w:link w:val="126"/>
    <w:qFormat/>
    <w:uiPriority w:val="99"/>
    <w:pPr>
      <w:adjustRightInd/>
      <w:spacing w:before="120" w:after="120" w:line="360" w:lineRule="auto"/>
      <w:ind w:left="1"/>
      <w:textAlignment w:val="auto"/>
    </w:pPr>
    <w:rPr>
      <w:bCs/>
      <w:color w:val="000000"/>
      <w:sz w:val="24"/>
    </w:rPr>
  </w:style>
  <w:style w:type="character" w:customStyle="1" w:styleId="128">
    <w:name w:val="ca-11"/>
    <w:qFormat/>
    <w:uiPriority w:val="0"/>
    <w:rPr>
      <w:rFonts w:hint="eastAsia" w:ascii="宋体" w:hAnsi="宋体" w:eastAsia="宋体"/>
      <w:sz w:val="24"/>
      <w:szCs w:val="24"/>
    </w:rPr>
  </w:style>
  <w:style w:type="character" w:customStyle="1" w:styleId="129">
    <w:name w:val="明显参考1"/>
    <w:qFormat/>
    <w:uiPriority w:val="32"/>
    <w:rPr>
      <w:b/>
      <w:bCs/>
      <w:smallCaps/>
      <w:color w:val="C0504D"/>
      <w:spacing w:val="5"/>
      <w:u w:val="single"/>
    </w:rPr>
  </w:style>
  <w:style w:type="character" w:customStyle="1" w:styleId="130">
    <w:name w:val="段落正文 Char Char"/>
    <w:qFormat/>
    <w:uiPriority w:val="0"/>
    <w:rPr>
      <w:rFonts w:ascii="宋体" w:hAnsi="宋体"/>
      <w:kern w:val="2"/>
      <w:sz w:val="21"/>
      <w:szCs w:val="24"/>
    </w:rPr>
  </w:style>
  <w:style w:type="character" w:customStyle="1" w:styleId="131">
    <w:name w:val="中等深浅网格 1 - 强调文字颜色 2 Char"/>
    <w:qFormat/>
    <w:uiPriority w:val="34"/>
    <w:rPr>
      <w:rFonts w:ascii="黑体" w:hAnsi="黑体" w:eastAsia="黑体" w:cs="黑体"/>
      <w:szCs w:val="21"/>
    </w:rPr>
  </w:style>
  <w:style w:type="character" w:customStyle="1" w:styleId="132">
    <w:name w:val="正文缩进2字符 Char"/>
    <w:link w:val="133"/>
    <w:qFormat/>
    <w:uiPriority w:val="0"/>
    <w:rPr>
      <w:sz w:val="24"/>
      <w:szCs w:val="24"/>
    </w:rPr>
  </w:style>
  <w:style w:type="paragraph" w:customStyle="1" w:styleId="133">
    <w:name w:val="正文缩进2字符"/>
    <w:basedOn w:val="1"/>
    <w:link w:val="132"/>
    <w:qFormat/>
    <w:uiPriority w:val="0"/>
    <w:pPr>
      <w:spacing w:line="360" w:lineRule="auto"/>
      <w:ind w:firstLine="480" w:firstLineChars="200"/>
    </w:pPr>
    <w:rPr>
      <w:kern w:val="0"/>
      <w:sz w:val="24"/>
    </w:rPr>
  </w:style>
  <w:style w:type="character" w:customStyle="1" w:styleId="134">
    <w:name w:val="标题 Char1"/>
    <w:qFormat/>
    <w:uiPriority w:val="10"/>
    <w:rPr>
      <w:rFonts w:ascii="Cambria" w:hAnsi="Cambria" w:eastAsia="宋体" w:cs="Times New Roman"/>
      <w:b/>
      <w:bCs/>
      <w:sz w:val="32"/>
      <w:szCs w:val="32"/>
    </w:rPr>
  </w:style>
  <w:style w:type="character" w:customStyle="1" w:styleId="135">
    <w:name w:val="图片-格式 Char"/>
    <w:link w:val="136"/>
    <w:qFormat/>
    <w:locked/>
    <w:uiPriority w:val="0"/>
    <w:rPr>
      <w:sz w:val="24"/>
      <w:szCs w:val="24"/>
      <w:lang w:val="en-US" w:eastAsia="zh-CN" w:bidi="ar-SA"/>
    </w:rPr>
  </w:style>
  <w:style w:type="paragraph" w:customStyle="1" w:styleId="136">
    <w:name w:val="图片-格式"/>
    <w:next w:val="1"/>
    <w:link w:val="135"/>
    <w:qFormat/>
    <w:uiPriority w:val="0"/>
    <w:pPr>
      <w:spacing w:line="360" w:lineRule="auto"/>
      <w:contextualSpacing/>
      <w:jc w:val="center"/>
    </w:pPr>
    <w:rPr>
      <w:rFonts w:ascii="Times New Roman" w:hAnsi="Times New Roman" w:eastAsia="宋体" w:cs="Times New Roman"/>
      <w:sz w:val="24"/>
      <w:szCs w:val="24"/>
      <w:lang w:val="en-US" w:eastAsia="zh-CN" w:bidi="ar-SA"/>
    </w:rPr>
  </w:style>
  <w:style w:type="character" w:customStyle="1" w:styleId="137">
    <w:name w:val="编号3 Char"/>
    <w:link w:val="138"/>
    <w:qFormat/>
    <w:locked/>
    <w:uiPriority w:val="99"/>
    <w:rPr>
      <w:sz w:val="24"/>
      <w:szCs w:val="24"/>
      <w:lang w:val="en-US" w:eastAsia="zh-CN" w:bidi="ar-SA"/>
    </w:rPr>
  </w:style>
  <w:style w:type="paragraph" w:customStyle="1" w:styleId="138">
    <w:name w:val="编号3"/>
    <w:link w:val="137"/>
    <w:qFormat/>
    <w:uiPriority w:val="99"/>
    <w:pPr>
      <w:spacing w:line="360" w:lineRule="auto"/>
      <w:ind w:left="1080" w:leftChars="300" w:hanging="360" w:hangingChars="150"/>
      <w:contextualSpacing/>
    </w:pPr>
    <w:rPr>
      <w:rFonts w:ascii="Times New Roman" w:hAnsi="Times New Roman" w:eastAsia="宋体" w:cs="Times New Roman"/>
      <w:sz w:val="24"/>
      <w:szCs w:val="24"/>
      <w:lang w:val="en-US" w:eastAsia="zh-CN" w:bidi="ar-SA"/>
    </w:rPr>
  </w:style>
  <w:style w:type="character" w:customStyle="1" w:styleId="139">
    <w:name w:val="Indent 1/2&quot; Char"/>
    <w:link w:val="140"/>
    <w:qFormat/>
    <w:uiPriority w:val="0"/>
    <w:rPr>
      <w:rFonts w:eastAsia="Calibri"/>
      <w:sz w:val="24"/>
    </w:rPr>
  </w:style>
  <w:style w:type="paragraph" w:customStyle="1" w:styleId="140">
    <w:name w:val="Indent 1/2&quot;"/>
    <w:basedOn w:val="1"/>
    <w:link w:val="139"/>
    <w:qFormat/>
    <w:uiPriority w:val="0"/>
    <w:pPr>
      <w:widowControl/>
      <w:ind w:left="720"/>
      <w:jc w:val="left"/>
    </w:pPr>
    <w:rPr>
      <w:rFonts w:eastAsia="Calibri"/>
      <w:kern w:val="0"/>
      <w:sz w:val="24"/>
      <w:szCs w:val="20"/>
    </w:rPr>
  </w:style>
  <w:style w:type="character" w:customStyle="1" w:styleId="141">
    <w:name w:val="Char Char Char Char"/>
    <w:qFormat/>
    <w:locked/>
    <w:uiPriority w:val="0"/>
    <w:rPr>
      <w:rFonts w:ascii="Arial" w:hAnsi="Arial" w:eastAsia="黑体"/>
      <w:b/>
      <w:bCs/>
      <w:kern w:val="2"/>
      <w:sz w:val="32"/>
      <w:szCs w:val="32"/>
      <w:lang w:val="en-US" w:eastAsia="zh-CN" w:bidi="ar-SA"/>
    </w:rPr>
  </w:style>
  <w:style w:type="character" w:customStyle="1" w:styleId="142">
    <w:name w:val="样式 标题 3 + Times New Roman Char Char"/>
    <w:link w:val="143"/>
    <w:qFormat/>
    <w:uiPriority w:val="0"/>
    <w:rPr>
      <w:b/>
      <w:bCs/>
      <w:kern w:val="2"/>
      <w:sz w:val="30"/>
      <w:szCs w:val="32"/>
    </w:rPr>
  </w:style>
  <w:style w:type="paragraph" w:customStyle="1" w:styleId="143">
    <w:name w:val="样式 标题 3 + Times New Roman"/>
    <w:basedOn w:val="4"/>
    <w:link w:val="142"/>
    <w:qFormat/>
    <w:uiPriority w:val="0"/>
    <w:pPr>
      <w:tabs>
        <w:tab w:val="left" w:pos="357"/>
      </w:tabs>
      <w:spacing w:before="260" w:after="260" w:line="416" w:lineRule="auto"/>
      <w:ind w:left="-32767" w:firstLine="32767" w:firstLineChars="0"/>
      <w:jc w:val="both"/>
    </w:pPr>
    <w:rPr>
      <w:rFonts w:ascii="Times New Roman"/>
      <w:sz w:val="30"/>
    </w:rPr>
  </w:style>
  <w:style w:type="character" w:customStyle="1" w:styleId="144">
    <w:name w:val="段 Char Char Char Char Char Char Char"/>
    <w:qFormat/>
    <w:uiPriority w:val="0"/>
    <w:rPr>
      <w:rFonts w:ascii="宋体"/>
      <w:sz w:val="21"/>
      <w:lang w:val="en-US" w:eastAsia="zh-CN" w:bidi="ar-SA"/>
    </w:rPr>
  </w:style>
  <w:style w:type="character" w:customStyle="1" w:styleId="145">
    <w:name w:val="编号2 Char"/>
    <w:link w:val="146"/>
    <w:qFormat/>
    <w:locked/>
    <w:uiPriority w:val="0"/>
    <w:rPr>
      <w:sz w:val="24"/>
      <w:szCs w:val="24"/>
      <w:lang w:val="en-US" w:eastAsia="zh-CN" w:bidi="ar-SA"/>
    </w:rPr>
  </w:style>
  <w:style w:type="paragraph" w:customStyle="1" w:styleId="146">
    <w:name w:val="编号2"/>
    <w:link w:val="145"/>
    <w:qFormat/>
    <w:uiPriority w:val="0"/>
    <w:pPr>
      <w:spacing w:line="360" w:lineRule="auto"/>
      <w:contextualSpacing/>
    </w:pPr>
    <w:rPr>
      <w:rFonts w:ascii="Times New Roman" w:hAnsi="Times New Roman" w:eastAsia="宋体" w:cs="Times New Roman"/>
      <w:sz w:val="24"/>
      <w:szCs w:val="24"/>
      <w:lang w:val="en-US" w:eastAsia="zh-CN" w:bidi="ar-SA"/>
    </w:rPr>
  </w:style>
  <w:style w:type="character" w:customStyle="1" w:styleId="147">
    <w:name w:val="apple-converted-space"/>
    <w:qFormat/>
    <w:uiPriority w:val="0"/>
  </w:style>
  <w:style w:type="character" w:customStyle="1" w:styleId="148">
    <w:name w:val="不明显参考1"/>
    <w:qFormat/>
    <w:uiPriority w:val="0"/>
    <w:rPr>
      <w:smallCaps/>
      <w:color w:val="C0504D"/>
      <w:u w:val="single"/>
    </w:rPr>
  </w:style>
  <w:style w:type="character" w:customStyle="1" w:styleId="149">
    <w:name w:val="Std.Z.0 Char"/>
    <w:link w:val="150"/>
    <w:qFormat/>
    <w:locked/>
    <w:uiPriority w:val="0"/>
    <w:rPr>
      <w:sz w:val="24"/>
    </w:rPr>
  </w:style>
  <w:style w:type="paragraph" w:customStyle="1" w:styleId="150">
    <w:name w:val="Std.Z.0"/>
    <w:basedOn w:val="1"/>
    <w:link w:val="149"/>
    <w:qFormat/>
    <w:uiPriority w:val="0"/>
    <w:pPr>
      <w:spacing w:line="360" w:lineRule="auto"/>
      <w:ind w:firstLine="425" w:firstLineChars="177"/>
    </w:pPr>
    <w:rPr>
      <w:kern w:val="0"/>
      <w:sz w:val="24"/>
      <w:szCs w:val="20"/>
    </w:rPr>
  </w:style>
  <w:style w:type="character" w:customStyle="1" w:styleId="151">
    <w:name w:val="List Paragraph Char"/>
    <w:link w:val="152"/>
    <w:qFormat/>
    <w:locked/>
    <w:uiPriority w:val="34"/>
    <w:rPr>
      <w:rFonts w:ascii="Tahoma" w:hAnsi="Tahoma" w:cs="Tahoma"/>
      <w:szCs w:val="24"/>
      <w:lang w:val="en-GB" w:eastAsia="fr-FR"/>
    </w:rPr>
  </w:style>
  <w:style w:type="paragraph" w:customStyle="1" w:styleId="152">
    <w:name w:val="列出段落6"/>
    <w:basedOn w:val="1"/>
    <w:link w:val="151"/>
    <w:qFormat/>
    <w:uiPriority w:val="34"/>
    <w:pPr>
      <w:widowControl/>
      <w:overflowPunct w:val="0"/>
      <w:autoSpaceDE w:val="0"/>
      <w:autoSpaceDN w:val="0"/>
      <w:spacing w:before="120" w:after="120"/>
      <w:ind w:firstLine="420" w:firstLineChars="200"/>
    </w:pPr>
    <w:rPr>
      <w:rFonts w:ascii="Tahoma" w:hAnsi="Tahoma"/>
      <w:kern w:val="0"/>
      <w:sz w:val="20"/>
      <w:lang w:val="en-GB" w:eastAsia="fr-FR"/>
    </w:rPr>
  </w:style>
  <w:style w:type="character" w:customStyle="1" w:styleId="153">
    <w:name w:val="正文首行缩进（万达） Char"/>
    <w:link w:val="154"/>
    <w:qFormat/>
    <w:locked/>
    <w:uiPriority w:val="0"/>
    <w:rPr>
      <w:rFonts w:ascii="Arial" w:hAnsi="Arial" w:cs="Arial"/>
      <w:szCs w:val="21"/>
    </w:rPr>
  </w:style>
  <w:style w:type="paragraph" w:customStyle="1" w:styleId="154">
    <w:name w:val="正文首行缩进（万达）"/>
    <w:basedOn w:val="1"/>
    <w:link w:val="153"/>
    <w:qFormat/>
    <w:uiPriority w:val="0"/>
    <w:pPr>
      <w:widowControl/>
      <w:spacing w:after="50" w:line="300" w:lineRule="auto"/>
      <w:ind w:firstLine="200" w:firstLineChars="200"/>
      <w:jc w:val="left"/>
    </w:pPr>
    <w:rPr>
      <w:rFonts w:ascii="Arial" w:hAnsi="Arial"/>
      <w:kern w:val="0"/>
      <w:sz w:val="20"/>
      <w:szCs w:val="21"/>
    </w:rPr>
  </w:style>
  <w:style w:type="character" w:customStyle="1" w:styleId="155">
    <w:name w:val="Heading3 Char"/>
    <w:link w:val="156"/>
    <w:qFormat/>
    <w:uiPriority w:val="0"/>
    <w:rPr>
      <w:rFonts w:ascii="宋体" w:hAnsi="宋体" w:cs="宋体-WinCharSetFFFF-H"/>
      <w:b/>
      <w:bCs/>
      <w:sz w:val="24"/>
      <w:szCs w:val="32"/>
    </w:rPr>
  </w:style>
  <w:style w:type="paragraph" w:customStyle="1" w:styleId="156">
    <w:name w:val="Heading3"/>
    <w:basedOn w:val="4"/>
    <w:link w:val="155"/>
    <w:qFormat/>
    <w:uiPriority w:val="0"/>
    <w:pPr>
      <w:autoSpaceDE w:val="0"/>
      <w:autoSpaceDN w:val="0"/>
      <w:spacing w:before="260" w:after="260"/>
      <w:ind w:firstLine="0" w:firstLineChars="0"/>
      <w:jc w:val="left"/>
    </w:pPr>
    <w:rPr>
      <w:rFonts w:hAnsi="宋体"/>
      <w:kern w:val="0"/>
    </w:rPr>
  </w:style>
  <w:style w:type="character" w:customStyle="1" w:styleId="157">
    <w:name w:val="正文2 Char"/>
    <w:link w:val="158"/>
    <w:qFormat/>
    <w:uiPriority w:val="0"/>
    <w:rPr>
      <w:szCs w:val="24"/>
    </w:rPr>
  </w:style>
  <w:style w:type="paragraph" w:customStyle="1" w:styleId="158">
    <w:name w:val="正文2"/>
    <w:basedOn w:val="1"/>
    <w:link w:val="157"/>
    <w:qFormat/>
    <w:uiPriority w:val="0"/>
    <w:rPr>
      <w:kern w:val="0"/>
      <w:sz w:val="20"/>
    </w:rPr>
  </w:style>
  <w:style w:type="character" w:customStyle="1" w:styleId="159">
    <w:name w:val="标题 3 Char1"/>
    <w:semiHidden/>
    <w:qFormat/>
    <w:uiPriority w:val="0"/>
    <w:rPr>
      <w:b/>
      <w:bCs/>
      <w:kern w:val="2"/>
      <w:sz w:val="32"/>
      <w:szCs w:val="32"/>
    </w:rPr>
  </w:style>
  <w:style w:type="character" w:customStyle="1" w:styleId="160">
    <w:name w:val="二级目录 Char"/>
    <w:link w:val="161"/>
    <w:qFormat/>
    <w:locked/>
    <w:uiPriority w:val="0"/>
    <w:rPr>
      <w:rFonts w:ascii="宋体" w:hAnsi="宋体" w:cs="Calibri"/>
      <w:b/>
      <w:w w:val="1"/>
      <w:sz w:val="36"/>
      <w:szCs w:val="36"/>
    </w:rPr>
  </w:style>
  <w:style w:type="paragraph" w:customStyle="1" w:styleId="161">
    <w:name w:val="二级目录"/>
    <w:basedOn w:val="1"/>
    <w:link w:val="160"/>
    <w:qFormat/>
    <w:uiPriority w:val="0"/>
    <w:pPr>
      <w:keepNext/>
      <w:keepLines/>
      <w:tabs>
        <w:tab w:val="left" w:pos="420"/>
      </w:tabs>
      <w:snapToGrid w:val="0"/>
      <w:spacing w:before="260" w:after="260" w:line="360" w:lineRule="auto"/>
      <w:ind w:left="420" w:hanging="420"/>
      <w:jc w:val="left"/>
      <w:outlineLvl w:val="1"/>
    </w:pPr>
    <w:rPr>
      <w:rFonts w:ascii="宋体" w:hAnsi="宋体"/>
      <w:b/>
      <w:w w:val="1"/>
      <w:kern w:val="0"/>
      <w:sz w:val="36"/>
      <w:szCs w:val="36"/>
    </w:rPr>
  </w:style>
  <w:style w:type="character" w:customStyle="1" w:styleId="162">
    <w:name w:val="1.粗体 Char"/>
    <w:link w:val="163"/>
    <w:qFormat/>
    <w:locked/>
    <w:uiPriority w:val="0"/>
    <w:rPr>
      <w:b/>
      <w:sz w:val="24"/>
      <w:szCs w:val="24"/>
    </w:rPr>
  </w:style>
  <w:style w:type="paragraph" w:customStyle="1" w:styleId="163">
    <w:name w:val="1.粗体"/>
    <w:basedOn w:val="1"/>
    <w:link w:val="162"/>
    <w:qFormat/>
    <w:uiPriority w:val="0"/>
    <w:pPr>
      <w:spacing w:line="360" w:lineRule="auto"/>
    </w:pPr>
    <w:rPr>
      <w:b/>
      <w:kern w:val="0"/>
      <w:sz w:val="24"/>
    </w:rPr>
  </w:style>
  <w:style w:type="character" w:customStyle="1" w:styleId="164">
    <w:name w:val="段 Char Char"/>
    <w:link w:val="165"/>
    <w:qFormat/>
    <w:uiPriority w:val="0"/>
    <w:rPr>
      <w:rFonts w:ascii="宋体"/>
      <w:lang w:val="en-US" w:eastAsia="zh-CN" w:bidi="ar-SA"/>
    </w:rPr>
  </w:style>
  <w:style w:type="paragraph" w:customStyle="1" w:styleId="165">
    <w:name w:val="段 Char"/>
    <w:link w:val="164"/>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66">
    <w:name w:val="四级目录 Char"/>
    <w:link w:val="167"/>
    <w:qFormat/>
    <w:locked/>
    <w:uiPriority w:val="99"/>
    <w:rPr>
      <w:rFonts w:ascii="宋体" w:hAnsi="宋体"/>
      <w:b/>
      <w:bCs/>
      <w:sz w:val="30"/>
      <w:szCs w:val="30"/>
    </w:rPr>
  </w:style>
  <w:style w:type="paragraph" w:customStyle="1" w:styleId="167">
    <w:name w:val="四级目录"/>
    <w:basedOn w:val="5"/>
    <w:link w:val="166"/>
    <w:qFormat/>
    <w:uiPriority w:val="99"/>
    <w:pPr>
      <w:tabs>
        <w:tab w:val="left" w:pos="851"/>
      </w:tabs>
      <w:spacing w:line="360" w:lineRule="auto"/>
      <w:ind w:left="142"/>
    </w:pPr>
    <w:rPr>
      <w:rFonts w:ascii="宋体" w:hAnsi="宋体" w:eastAsia="宋体"/>
      <w:kern w:val="0"/>
      <w:sz w:val="30"/>
      <w:szCs w:val="30"/>
    </w:rPr>
  </w:style>
  <w:style w:type="character" w:customStyle="1" w:styleId="168">
    <w:name w:val="表格内容 Char"/>
    <w:link w:val="169"/>
    <w:qFormat/>
    <w:locked/>
    <w:uiPriority w:val="0"/>
    <w:rPr>
      <w:color w:val="000000"/>
      <w:szCs w:val="24"/>
    </w:rPr>
  </w:style>
  <w:style w:type="paragraph" w:customStyle="1" w:styleId="169">
    <w:name w:val="表格内容"/>
    <w:basedOn w:val="1"/>
    <w:link w:val="168"/>
    <w:qFormat/>
    <w:uiPriority w:val="0"/>
    <w:pPr>
      <w:autoSpaceDE w:val="0"/>
      <w:autoSpaceDN w:val="0"/>
      <w:spacing w:line="240" w:lineRule="exact"/>
    </w:pPr>
    <w:rPr>
      <w:color w:val="000000"/>
      <w:kern w:val="0"/>
      <w:sz w:val="20"/>
    </w:rPr>
  </w:style>
  <w:style w:type="character" w:customStyle="1" w:styleId="170">
    <w:name w:val="正文-内容 Char"/>
    <w:link w:val="171"/>
    <w:qFormat/>
    <w:locked/>
    <w:uiPriority w:val="0"/>
    <w:rPr>
      <w:sz w:val="24"/>
      <w:szCs w:val="24"/>
      <w:lang w:val="en-US" w:eastAsia="zh-CN" w:bidi="ar-SA"/>
    </w:rPr>
  </w:style>
  <w:style w:type="paragraph" w:customStyle="1" w:styleId="171">
    <w:name w:val="正文-内容"/>
    <w:link w:val="170"/>
    <w:qFormat/>
    <w:uiPriority w:val="0"/>
    <w:pPr>
      <w:spacing w:line="360" w:lineRule="auto"/>
      <w:ind w:firstLine="480" w:firstLineChars="200"/>
    </w:pPr>
    <w:rPr>
      <w:rFonts w:ascii="Times New Roman" w:hAnsi="Times New Roman" w:eastAsia="宋体" w:cs="Times New Roman"/>
      <w:sz w:val="24"/>
      <w:szCs w:val="24"/>
      <w:lang w:val="en-US" w:eastAsia="zh-CN" w:bidi="ar-SA"/>
    </w:rPr>
  </w:style>
  <w:style w:type="character" w:customStyle="1" w:styleId="172">
    <w:name w:val="apple-style-span"/>
    <w:qFormat/>
    <w:uiPriority w:val="0"/>
  </w:style>
  <w:style w:type="character" w:customStyle="1" w:styleId="173">
    <w:name w:val="label_list1"/>
    <w:qFormat/>
    <w:uiPriority w:val="0"/>
  </w:style>
  <w:style w:type="character" w:customStyle="1" w:styleId="174">
    <w:name w:val="表格-内容 Char"/>
    <w:link w:val="175"/>
    <w:qFormat/>
    <w:locked/>
    <w:uiPriority w:val="0"/>
    <w:rPr>
      <w:sz w:val="24"/>
      <w:szCs w:val="24"/>
      <w:lang w:val="en-US" w:eastAsia="zh-CN" w:bidi="ar-SA"/>
    </w:rPr>
  </w:style>
  <w:style w:type="paragraph" w:customStyle="1" w:styleId="175">
    <w:name w:val="表格-内容"/>
    <w:next w:val="1"/>
    <w:link w:val="174"/>
    <w:qFormat/>
    <w:uiPriority w:val="0"/>
    <w:rPr>
      <w:rFonts w:ascii="Times New Roman" w:hAnsi="Times New Roman" w:eastAsia="宋体" w:cs="Times New Roman"/>
      <w:sz w:val="24"/>
      <w:szCs w:val="24"/>
      <w:lang w:val="en-US" w:eastAsia="zh-CN" w:bidi="ar-SA"/>
    </w:rPr>
  </w:style>
  <w:style w:type="character" w:customStyle="1" w:styleId="176">
    <w:name w:val="不明显强调2"/>
    <w:qFormat/>
    <w:uiPriority w:val="19"/>
    <w:rPr>
      <w:i/>
      <w:iCs/>
      <w:color w:val="404040"/>
    </w:rPr>
  </w:style>
  <w:style w:type="character" w:customStyle="1" w:styleId="177">
    <w:name w:val="引用 Char1"/>
    <w:qFormat/>
    <w:uiPriority w:val="29"/>
    <w:rPr>
      <w:i/>
      <w:iCs/>
      <w:color w:val="000000"/>
    </w:rPr>
  </w:style>
  <w:style w:type="character" w:customStyle="1" w:styleId="178">
    <w:name w:val="样式3 Char Char"/>
    <w:link w:val="179"/>
    <w:qFormat/>
    <w:uiPriority w:val="0"/>
    <w:rPr>
      <w:sz w:val="28"/>
    </w:rPr>
  </w:style>
  <w:style w:type="paragraph" w:customStyle="1" w:styleId="179">
    <w:name w:val="样式3"/>
    <w:basedOn w:val="1"/>
    <w:link w:val="178"/>
    <w:qFormat/>
    <w:uiPriority w:val="0"/>
    <w:pPr>
      <w:spacing w:line="360" w:lineRule="auto"/>
      <w:ind w:left="520" w:leftChars="1" w:hanging="518" w:hangingChars="185"/>
    </w:pPr>
    <w:rPr>
      <w:kern w:val="0"/>
      <w:sz w:val="28"/>
      <w:szCs w:val="20"/>
    </w:rPr>
  </w:style>
  <w:style w:type="character" w:customStyle="1" w:styleId="180">
    <w:name w:val="列表二 Char Char"/>
    <w:qFormat/>
    <w:uiPriority w:val="0"/>
    <w:rPr>
      <w:rFonts w:ascii="宋体" w:hAnsi="宋体"/>
      <w:kern w:val="2"/>
      <w:sz w:val="24"/>
      <w:szCs w:val="24"/>
    </w:rPr>
  </w:style>
  <w:style w:type="character" w:customStyle="1" w:styleId="181">
    <w:name w:val="标题 2 字符2"/>
    <w:qFormat/>
    <w:uiPriority w:val="0"/>
    <w:rPr>
      <w:rFonts w:ascii="Arial" w:hAnsi="Arial"/>
      <w:b/>
      <w:bCs/>
      <w:kern w:val="2"/>
      <w:sz w:val="28"/>
      <w:szCs w:val="32"/>
    </w:rPr>
  </w:style>
  <w:style w:type="character" w:customStyle="1" w:styleId="182">
    <w:name w:val="不明显强调1"/>
    <w:qFormat/>
    <w:uiPriority w:val="19"/>
    <w:rPr>
      <w:i/>
      <w:iCs/>
      <w:color w:val="808080"/>
    </w:rPr>
  </w:style>
  <w:style w:type="character" w:customStyle="1" w:styleId="183">
    <w:name w:val="符号2 Char"/>
    <w:link w:val="184"/>
    <w:qFormat/>
    <w:locked/>
    <w:uiPriority w:val="39"/>
    <w:rPr>
      <w:sz w:val="24"/>
      <w:szCs w:val="24"/>
      <w:lang w:val="en-US" w:eastAsia="zh-CN" w:bidi="ar-SA"/>
    </w:rPr>
  </w:style>
  <w:style w:type="paragraph" w:customStyle="1" w:styleId="184">
    <w:name w:val="符号2"/>
    <w:link w:val="183"/>
    <w:qFormat/>
    <w:uiPriority w:val="39"/>
    <w:pPr>
      <w:spacing w:line="360" w:lineRule="auto"/>
      <w:ind w:left="770" w:hanging="420"/>
      <w:contextualSpacing/>
    </w:pPr>
    <w:rPr>
      <w:rFonts w:ascii="Times New Roman" w:hAnsi="Times New Roman" w:eastAsia="宋体" w:cs="Times New Roman"/>
      <w:sz w:val="24"/>
      <w:szCs w:val="24"/>
      <w:lang w:val="en-US" w:eastAsia="zh-CN" w:bidi="ar-SA"/>
    </w:rPr>
  </w:style>
  <w:style w:type="character" w:customStyle="1" w:styleId="185">
    <w:name w:val="缩进正文 Char"/>
    <w:link w:val="186"/>
    <w:qFormat/>
    <w:uiPriority w:val="0"/>
    <w:rPr>
      <w:rFonts w:ascii="宋体" w:hAnsi="宋体" w:eastAsia="仿宋_GB2312"/>
      <w:sz w:val="32"/>
      <w:szCs w:val="32"/>
    </w:rPr>
  </w:style>
  <w:style w:type="paragraph" w:customStyle="1" w:styleId="186">
    <w:name w:val="缩进正文"/>
    <w:basedOn w:val="1"/>
    <w:link w:val="185"/>
    <w:qFormat/>
    <w:uiPriority w:val="0"/>
    <w:pPr>
      <w:ind w:firstLine="640" w:firstLineChars="200"/>
      <w:jc w:val="left"/>
    </w:pPr>
    <w:rPr>
      <w:rFonts w:ascii="宋体" w:hAnsi="宋体" w:eastAsia="仿宋_GB2312"/>
      <w:kern w:val="0"/>
      <w:sz w:val="32"/>
      <w:szCs w:val="32"/>
    </w:rPr>
  </w:style>
  <w:style w:type="character" w:customStyle="1" w:styleId="187">
    <w:name w:val="正文（万达） Char"/>
    <w:link w:val="188"/>
    <w:qFormat/>
    <w:locked/>
    <w:uiPriority w:val="0"/>
    <w:rPr>
      <w:rFonts w:ascii="Arial" w:hAnsi="Arial" w:cs="Arial"/>
      <w:szCs w:val="21"/>
      <w:lang w:val="en-US" w:eastAsia="zh-CN" w:bidi="ar-SA"/>
    </w:rPr>
  </w:style>
  <w:style w:type="paragraph" w:customStyle="1" w:styleId="188">
    <w:name w:val="正文（万达）"/>
    <w:link w:val="187"/>
    <w:qFormat/>
    <w:uiPriority w:val="0"/>
    <w:pPr>
      <w:spacing w:line="300" w:lineRule="auto"/>
    </w:pPr>
    <w:rPr>
      <w:rFonts w:ascii="Arial" w:hAnsi="Arial" w:eastAsia="宋体" w:cs="Arial"/>
      <w:szCs w:val="21"/>
      <w:lang w:val="en-US" w:eastAsia="zh-CN" w:bidi="ar-SA"/>
    </w:rPr>
  </w:style>
  <w:style w:type="character" w:customStyle="1" w:styleId="189">
    <w:name w:val="1)标题 Char"/>
    <w:link w:val="190"/>
    <w:qFormat/>
    <w:locked/>
    <w:uiPriority w:val="99"/>
    <w:rPr>
      <w:rFonts w:ascii="Tahoma" w:hAnsi="Tahoma" w:cs="Tahoma"/>
      <w:sz w:val="24"/>
      <w:lang w:val="en-GB" w:eastAsia="fr-FR" w:bidi="ar-SA"/>
    </w:rPr>
  </w:style>
  <w:style w:type="paragraph" w:customStyle="1" w:styleId="190">
    <w:name w:val="1)标题"/>
    <w:link w:val="189"/>
    <w:qFormat/>
    <w:uiPriority w:val="99"/>
    <w:pPr>
      <w:overflowPunct w:val="0"/>
      <w:autoSpaceDE w:val="0"/>
      <w:autoSpaceDN w:val="0"/>
      <w:adjustRightInd w:val="0"/>
      <w:spacing w:before="120" w:after="120" w:line="360" w:lineRule="auto"/>
      <w:ind w:left="480"/>
      <w:jc w:val="both"/>
    </w:pPr>
    <w:rPr>
      <w:rFonts w:ascii="Tahoma" w:hAnsi="Tahoma" w:eastAsia="宋体" w:cs="Tahoma"/>
      <w:sz w:val="24"/>
      <w:lang w:val="en-GB" w:eastAsia="fr-FR" w:bidi="ar-SA"/>
    </w:rPr>
  </w:style>
  <w:style w:type="character" w:customStyle="1" w:styleId="191">
    <w:name w:val="标题 2 Char2"/>
    <w:qFormat/>
    <w:uiPriority w:val="0"/>
    <w:rPr>
      <w:rFonts w:ascii="黑体" w:hAnsi="Arial"/>
      <w:b/>
      <w:bCs/>
      <w:kern w:val="2"/>
      <w:sz w:val="28"/>
      <w:szCs w:val="24"/>
    </w:rPr>
  </w:style>
  <w:style w:type="character" w:customStyle="1" w:styleId="192">
    <w:name w:val="正文缩进 字符"/>
    <w:qFormat/>
    <w:uiPriority w:val="0"/>
    <w:rPr>
      <w:rFonts w:ascii="Calibri" w:hAnsi="Calibri" w:eastAsia="宋体" w:cs="Times New Roman"/>
      <w:kern w:val="0"/>
      <w:sz w:val="22"/>
      <w:lang w:eastAsia="en-US" w:bidi="en-US"/>
    </w:rPr>
  </w:style>
  <w:style w:type="character" w:customStyle="1" w:styleId="193">
    <w:name w:val="页脚 字符"/>
    <w:qFormat/>
    <w:uiPriority w:val="99"/>
  </w:style>
  <w:style w:type="character" w:customStyle="1" w:styleId="194">
    <w:name w:val="列表（符号一级）（绿盟科技） Char"/>
    <w:link w:val="195"/>
    <w:qFormat/>
    <w:locked/>
    <w:uiPriority w:val="99"/>
    <w:rPr>
      <w:rFonts w:ascii="Arial" w:hAnsi="Arial" w:cs="Arial"/>
      <w:szCs w:val="21"/>
    </w:rPr>
  </w:style>
  <w:style w:type="paragraph" w:customStyle="1" w:styleId="195">
    <w:name w:val="列表（符号一级）（绿盟科技）"/>
    <w:basedOn w:val="1"/>
    <w:link w:val="194"/>
    <w:qFormat/>
    <w:uiPriority w:val="99"/>
    <w:pPr>
      <w:widowControl/>
      <w:numPr>
        <w:ilvl w:val="0"/>
        <w:numId w:val="1"/>
      </w:numPr>
      <w:spacing w:line="300" w:lineRule="auto"/>
      <w:jc w:val="left"/>
    </w:pPr>
    <w:rPr>
      <w:rFonts w:ascii="Arial" w:hAnsi="Arial"/>
      <w:kern w:val="0"/>
      <w:sz w:val="20"/>
      <w:szCs w:val="21"/>
    </w:rPr>
  </w:style>
  <w:style w:type="character" w:customStyle="1" w:styleId="196">
    <w:name w:val="批注文字 Char1"/>
    <w:qFormat/>
    <w:uiPriority w:val="99"/>
    <w:rPr>
      <w:kern w:val="2"/>
      <w:sz w:val="21"/>
      <w:szCs w:val="24"/>
    </w:rPr>
  </w:style>
  <w:style w:type="character" w:customStyle="1" w:styleId="197">
    <w:name w:val="引用 字符1"/>
    <w:qFormat/>
    <w:uiPriority w:val="99"/>
    <w:rPr>
      <w:i/>
      <w:iCs/>
      <w:color w:val="404040"/>
      <w:kern w:val="2"/>
      <w:sz w:val="21"/>
      <w:szCs w:val="24"/>
    </w:rPr>
  </w:style>
  <w:style w:type="character" w:customStyle="1" w:styleId="198">
    <w:name w:val="明显引用 Char1"/>
    <w:qFormat/>
    <w:uiPriority w:val="30"/>
    <w:rPr>
      <w:b/>
      <w:bCs/>
      <w:i/>
      <w:iCs/>
      <w:color w:val="4F81BD"/>
    </w:rPr>
  </w:style>
  <w:style w:type="character" w:customStyle="1" w:styleId="199">
    <w:name w:val="表格-新建 Char"/>
    <w:link w:val="200"/>
    <w:qFormat/>
    <w:locked/>
    <w:uiPriority w:val="0"/>
    <w:rPr>
      <w:sz w:val="24"/>
      <w:szCs w:val="24"/>
      <w:lang w:val="en-US" w:eastAsia="zh-CN" w:bidi="ar-SA"/>
    </w:rPr>
  </w:style>
  <w:style w:type="paragraph" w:customStyle="1" w:styleId="200">
    <w:name w:val="表格-新建"/>
    <w:link w:val="199"/>
    <w:qFormat/>
    <w:uiPriority w:val="0"/>
    <w:pPr>
      <w:spacing w:line="360" w:lineRule="auto"/>
    </w:pPr>
    <w:rPr>
      <w:rFonts w:ascii="Times New Roman" w:hAnsi="Times New Roman" w:eastAsia="宋体" w:cs="Times New Roman"/>
      <w:sz w:val="24"/>
      <w:szCs w:val="24"/>
      <w:lang w:val="en-US" w:eastAsia="zh-CN" w:bidi="ar-SA"/>
    </w:rPr>
  </w:style>
  <w:style w:type="character" w:customStyle="1" w:styleId="201">
    <w:name w:val="普通文字 Char Char1"/>
    <w:qFormat/>
    <w:uiPriority w:val="0"/>
    <w:rPr>
      <w:rFonts w:ascii="宋体" w:eastAsia="宋体"/>
      <w:kern w:val="2"/>
      <w:sz w:val="21"/>
      <w:lang w:val="en-US" w:eastAsia="zh-CN" w:bidi="ar-SA"/>
    </w:rPr>
  </w:style>
  <w:style w:type="character" w:customStyle="1" w:styleId="202">
    <w:name w:val="标题 6 字符"/>
    <w:qFormat/>
    <w:uiPriority w:val="0"/>
    <w:rPr>
      <w:rFonts w:ascii="Cambria" w:hAnsi="Cambria" w:eastAsia="宋体" w:cs="Times New Roman"/>
      <w:i/>
      <w:iCs/>
      <w:color w:val="243F60"/>
      <w:kern w:val="0"/>
      <w:sz w:val="22"/>
      <w:lang w:eastAsia="en-US" w:bidi="en-US"/>
    </w:rPr>
  </w:style>
  <w:style w:type="character" w:customStyle="1" w:styleId="203">
    <w:name w:val="Char Char Char"/>
    <w:qFormat/>
    <w:locked/>
    <w:uiPriority w:val="0"/>
    <w:rPr>
      <w:rFonts w:ascii="Arial" w:hAnsi="Arial" w:eastAsia="黑体"/>
      <w:b/>
      <w:bCs/>
      <w:kern w:val="2"/>
      <w:sz w:val="32"/>
      <w:szCs w:val="32"/>
      <w:lang w:val="en-US" w:eastAsia="zh-CN" w:bidi="ar-SA"/>
    </w:rPr>
  </w:style>
  <w:style w:type="character" w:customStyle="1" w:styleId="204">
    <w:name w:val="备注 Char"/>
    <w:link w:val="205"/>
    <w:qFormat/>
    <w:uiPriority w:val="0"/>
    <w:rPr>
      <w:rFonts w:ascii="楷体_GB2312" w:hAnsi="宋体" w:eastAsia="楷体_GB2312"/>
      <w:color w:val="FF0000"/>
      <w:szCs w:val="24"/>
    </w:rPr>
  </w:style>
  <w:style w:type="paragraph" w:customStyle="1" w:styleId="205">
    <w:name w:val="备注"/>
    <w:basedOn w:val="206"/>
    <w:link w:val="204"/>
    <w:qFormat/>
    <w:uiPriority w:val="0"/>
    <w:pPr>
      <w:spacing w:before="156" w:after="156"/>
      <w:ind w:firstLine="480"/>
    </w:pPr>
    <w:rPr>
      <w:rFonts w:ascii="楷体_GB2312" w:eastAsia="楷体_GB2312"/>
      <w:color w:val="FF0000"/>
    </w:rPr>
  </w:style>
  <w:style w:type="paragraph" w:customStyle="1" w:styleId="206">
    <w:name w:val="段落正文"/>
    <w:basedOn w:val="1"/>
    <w:link w:val="207"/>
    <w:qFormat/>
    <w:uiPriority w:val="0"/>
    <w:pPr>
      <w:spacing w:before="140" w:after="140" w:line="401" w:lineRule="auto"/>
      <w:ind w:firstLine="200" w:firstLineChars="200"/>
    </w:pPr>
    <w:rPr>
      <w:rFonts w:ascii="宋体" w:hAnsi="宋体"/>
      <w:kern w:val="0"/>
      <w:sz w:val="20"/>
    </w:rPr>
  </w:style>
  <w:style w:type="character" w:customStyle="1" w:styleId="207">
    <w:name w:val="段落正文 Char"/>
    <w:link w:val="206"/>
    <w:qFormat/>
    <w:uiPriority w:val="0"/>
    <w:rPr>
      <w:rFonts w:ascii="宋体" w:hAnsi="宋体"/>
      <w:szCs w:val="24"/>
    </w:rPr>
  </w:style>
  <w:style w:type="character" w:customStyle="1" w:styleId="208">
    <w:name w:val="符号1 Char"/>
    <w:link w:val="209"/>
    <w:qFormat/>
    <w:locked/>
    <w:uiPriority w:val="0"/>
    <w:rPr>
      <w:b/>
      <w:sz w:val="28"/>
      <w:szCs w:val="24"/>
      <w:lang w:val="en-US" w:eastAsia="zh-CN" w:bidi="ar-SA"/>
    </w:rPr>
  </w:style>
  <w:style w:type="paragraph" w:customStyle="1" w:styleId="209">
    <w:name w:val="符号1"/>
    <w:next w:val="1"/>
    <w:link w:val="208"/>
    <w:qFormat/>
    <w:uiPriority w:val="0"/>
    <w:pPr>
      <w:spacing w:line="360" w:lineRule="auto"/>
      <w:contextualSpacing/>
    </w:pPr>
    <w:rPr>
      <w:rFonts w:ascii="Times New Roman" w:hAnsi="Times New Roman" w:eastAsia="宋体" w:cs="Times New Roman"/>
      <w:b/>
      <w:sz w:val="28"/>
      <w:szCs w:val="24"/>
      <w:lang w:val="en-US" w:eastAsia="zh-CN" w:bidi="ar-SA"/>
    </w:rPr>
  </w:style>
  <w:style w:type="character" w:customStyle="1" w:styleId="210">
    <w:name w:val="列表段落 字符"/>
    <w:link w:val="211"/>
    <w:qFormat/>
    <w:uiPriority w:val="0"/>
    <w:rPr>
      <w:kern w:val="2"/>
      <w:sz w:val="21"/>
      <w:szCs w:val="24"/>
    </w:rPr>
  </w:style>
  <w:style w:type="paragraph" w:styleId="211">
    <w:name w:val="List Paragraph"/>
    <w:basedOn w:val="1"/>
    <w:next w:val="19"/>
    <w:link w:val="210"/>
    <w:qFormat/>
    <w:uiPriority w:val="0"/>
    <w:pPr>
      <w:ind w:firstLine="420" w:firstLineChars="200"/>
    </w:pPr>
  </w:style>
  <w:style w:type="character" w:customStyle="1" w:styleId="212">
    <w:name w:val="列表二 Char"/>
    <w:link w:val="213"/>
    <w:qFormat/>
    <w:uiPriority w:val="0"/>
    <w:rPr>
      <w:rFonts w:ascii="宋体" w:hAnsi="宋体"/>
      <w:kern w:val="2"/>
      <w:sz w:val="24"/>
      <w:szCs w:val="24"/>
    </w:rPr>
  </w:style>
  <w:style w:type="paragraph" w:customStyle="1" w:styleId="213">
    <w:name w:val="列表二"/>
    <w:basedOn w:val="1"/>
    <w:link w:val="212"/>
    <w:qFormat/>
    <w:uiPriority w:val="0"/>
    <w:pPr>
      <w:tabs>
        <w:tab w:val="left" w:pos="1315"/>
      </w:tabs>
      <w:spacing w:beforeLines="50" w:afterLines="50" w:line="400" w:lineRule="exact"/>
      <w:ind w:left="1276" w:hanging="425"/>
      <w:outlineLvl w:val="3"/>
    </w:pPr>
    <w:rPr>
      <w:rFonts w:ascii="宋体" w:hAnsi="宋体"/>
      <w:sz w:val="24"/>
    </w:rPr>
  </w:style>
  <w:style w:type="character" w:customStyle="1" w:styleId="214">
    <w:name w:val="备注 Char Char"/>
    <w:qFormat/>
    <w:uiPriority w:val="0"/>
    <w:rPr>
      <w:rFonts w:ascii="楷体_GB2312" w:hAnsi="宋体" w:eastAsia="楷体_GB2312"/>
      <w:color w:val="FF0000"/>
      <w:kern w:val="2"/>
      <w:sz w:val="21"/>
      <w:szCs w:val="24"/>
    </w:rPr>
  </w:style>
  <w:style w:type="character" w:customStyle="1" w:styleId="215">
    <w:name w:val="编号1 Char"/>
    <w:link w:val="216"/>
    <w:qFormat/>
    <w:locked/>
    <w:uiPriority w:val="0"/>
    <w:rPr>
      <w:sz w:val="24"/>
      <w:szCs w:val="24"/>
      <w:lang w:val="en-US" w:eastAsia="zh-CN" w:bidi="ar-SA"/>
    </w:rPr>
  </w:style>
  <w:style w:type="paragraph" w:customStyle="1" w:styleId="216">
    <w:name w:val="编号1"/>
    <w:next w:val="1"/>
    <w:link w:val="215"/>
    <w:qFormat/>
    <w:uiPriority w:val="0"/>
    <w:pPr>
      <w:spacing w:line="360" w:lineRule="auto"/>
      <w:ind w:left="240" w:leftChars="100"/>
      <w:contextualSpacing/>
    </w:pPr>
    <w:rPr>
      <w:rFonts w:ascii="Times New Roman" w:hAnsi="Times New Roman" w:eastAsia="宋体" w:cs="Times New Roman"/>
      <w:sz w:val="24"/>
      <w:szCs w:val="24"/>
      <w:lang w:val="en-US" w:eastAsia="zh-CN" w:bidi="ar-SA"/>
    </w:rPr>
  </w:style>
  <w:style w:type="character" w:customStyle="1" w:styleId="217">
    <w:name w:val="明显引用 字符"/>
    <w:link w:val="218"/>
    <w:qFormat/>
    <w:uiPriority w:val="0"/>
    <w:rPr>
      <w:b/>
      <w:bCs/>
      <w:i/>
      <w:iCs/>
      <w:color w:val="4F81BD"/>
    </w:rPr>
  </w:style>
  <w:style w:type="paragraph" w:styleId="218">
    <w:name w:val="Intense Quote"/>
    <w:basedOn w:val="1"/>
    <w:next w:val="1"/>
    <w:link w:val="217"/>
    <w:qFormat/>
    <w:uiPriority w:val="0"/>
    <w:pPr>
      <w:widowControl/>
      <w:pBdr>
        <w:bottom w:val="single" w:color="4F81BD" w:sz="4" w:space="4"/>
      </w:pBdr>
      <w:spacing w:before="200" w:after="280" w:line="276" w:lineRule="auto"/>
      <w:ind w:left="936" w:right="936"/>
      <w:jc w:val="left"/>
    </w:pPr>
    <w:rPr>
      <w:b/>
      <w:bCs/>
      <w:i/>
      <w:iCs/>
      <w:color w:val="4F81BD"/>
      <w:kern w:val="0"/>
      <w:sz w:val="20"/>
      <w:szCs w:val="20"/>
    </w:rPr>
  </w:style>
  <w:style w:type="character" w:customStyle="1" w:styleId="219">
    <w:name w:val="中等深浅底纹 1 - 强调文字颜色 1 Char"/>
    <w:qFormat/>
    <w:locked/>
    <w:uiPriority w:val="0"/>
    <w:rPr>
      <w:sz w:val="22"/>
      <w:szCs w:val="22"/>
    </w:rPr>
  </w:style>
  <w:style w:type="character" w:customStyle="1" w:styleId="220">
    <w:name w:val="批注主题 Char1"/>
    <w:qFormat/>
    <w:uiPriority w:val="99"/>
    <w:rPr>
      <w:b/>
      <w:bCs/>
      <w:kern w:val="2"/>
      <w:sz w:val="21"/>
      <w:szCs w:val="24"/>
    </w:rPr>
  </w:style>
  <w:style w:type="character" w:customStyle="1" w:styleId="221">
    <w:name w:val="不明显参考2"/>
    <w:qFormat/>
    <w:uiPriority w:val="0"/>
    <w:rPr>
      <w:b/>
      <w:bCs/>
      <w:color w:val="4F81BD"/>
    </w:rPr>
  </w:style>
  <w:style w:type="character" w:customStyle="1" w:styleId="222">
    <w:name w:val="grame"/>
    <w:qFormat/>
    <w:uiPriority w:val="0"/>
  </w:style>
  <w:style w:type="character" w:customStyle="1" w:styleId="223">
    <w:name w:val="点小标题 Char"/>
    <w:link w:val="224"/>
    <w:qFormat/>
    <w:locked/>
    <w:uiPriority w:val="99"/>
    <w:rPr>
      <w:rFonts w:ascii="Tahoma" w:hAnsi="Tahoma" w:cs="Tahoma"/>
      <w:sz w:val="24"/>
      <w:lang w:val="en-GB" w:eastAsia="fr-FR" w:bidi="ar-SA"/>
    </w:rPr>
  </w:style>
  <w:style w:type="paragraph" w:customStyle="1" w:styleId="224">
    <w:name w:val="点小标题"/>
    <w:link w:val="223"/>
    <w:qFormat/>
    <w:uiPriority w:val="99"/>
    <w:pPr>
      <w:overflowPunct w:val="0"/>
      <w:autoSpaceDE w:val="0"/>
      <w:autoSpaceDN w:val="0"/>
      <w:adjustRightInd w:val="0"/>
      <w:spacing w:before="120" w:after="120" w:line="360" w:lineRule="auto"/>
      <w:ind w:left="840"/>
      <w:jc w:val="both"/>
    </w:pPr>
    <w:rPr>
      <w:rFonts w:ascii="Tahoma" w:hAnsi="Tahoma" w:eastAsia="宋体" w:cs="Tahoma"/>
      <w:sz w:val="24"/>
      <w:lang w:val="en-GB" w:eastAsia="fr-FR" w:bidi="ar-SA"/>
    </w:rPr>
  </w:style>
  <w:style w:type="character" w:customStyle="1" w:styleId="225">
    <w:name w:val="样式4-4级标题 Char"/>
    <w:link w:val="226"/>
    <w:qFormat/>
    <w:locked/>
    <w:uiPriority w:val="99"/>
    <w:rPr>
      <w:rFonts w:ascii="宋体" w:hAnsi="宋体"/>
      <w:b/>
      <w:bCs/>
      <w:iCs/>
      <w:sz w:val="24"/>
      <w:szCs w:val="24"/>
      <w:lang w:bidi="en-US"/>
    </w:rPr>
  </w:style>
  <w:style w:type="paragraph" w:customStyle="1" w:styleId="226">
    <w:name w:val="样式4-4级标题"/>
    <w:basedOn w:val="5"/>
    <w:link w:val="225"/>
    <w:qFormat/>
    <w:uiPriority w:val="99"/>
    <w:pPr>
      <w:keepNext w:val="0"/>
      <w:keepLines w:val="0"/>
      <w:widowControl/>
      <w:tabs>
        <w:tab w:val="left" w:pos="851"/>
      </w:tabs>
      <w:spacing w:before="200" w:after="0" w:line="360" w:lineRule="auto"/>
      <w:ind w:left="360"/>
    </w:pPr>
    <w:rPr>
      <w:rFonts w:ascii="宋体" w:hAnsi="宋体" w:eastAsia="宋体"/>
      <w:iCs/>
      <w:kern w:val="0"/>
      <w:sz w:val="24"/>
      <w:szCs w:val="24"/>
      <w:lang w:bidi="en-US"/>
    </w:rPr>
  </w:style>
  <w:style w:type="character" w:customStyle="1" w:styleId="227">
    <w:name w:val="图片名 Char"/>
    <w:link w:val="228"/>
    <w:qFormat/>
    <w:locked/>
    <w:uiPriority w:val="0"/>
    <w:rPr>
      <w:sz w:val="24"/>
      <w:szCs w:val="24"/>
      <w:lang w:val="en-US" w:eastAsia="zh-CN" w:bidi="ar-SA"/>
    </w:rPr>
  </w:style>
  <w:style w:type="paragraph" w:customStyle="1" w:styleId="228">
    <w:name w:val="图片名"/>
    <w:next w:val="1"/>
    <w:link w:val="227"/>
    <w:qFormat/>
    <w:uiPriority w:val="0"/>
    <w:pPr>
      <w:ind w:left="100" w:leftChars="100" w:right="100" w:rightChars="100" w:firstLine="200" w:firstLineChars="200"/>
      <w:contextualSpacing/>
      <w:jc w:val="center"/>
    </w:pPr>
    <w:rPr>
      <w:rFonts w:ascii="Times New Roman" w:hAnsi="Times New Roman" w:eastAsia="宋体" w:cs="Times New Roman"/>
      <w:sz w:val="24"/>
      <w:szCs w:val="24"/>
      <w:lang w:val="en-US" w:eastAsia="zh-CN" w:bidi="ar-SA"/>
    </w:rPr>
  </w:style>
  <w:style w:type="character" w:customStyle="1" w:styleId="229">
    <w:name w:val="段 Char Char Char Char"/>
    <w:link w:val="230"/>
    <w:qFormat/>
    <w:uiPriority w:val="0"/>
    <w:rPr>
      <w:rFonts w:ascii="宋体"/>
      <w:szCs w:val="24"/>
      <w:lang w:val="en-US" w:eastAsia="zh-CN" w:bidi="ar-SA"/>
    </w:rPr>
  </w:style>
  <w:style w:type="paragraph" w:customStyle="1" w:styleId="230">
    <w:name w:val="段 Char Char Char"/>
    <w:link w:val="229"/>
    <w:qFormat/>
    <w:uiPriority w:val="0"/>
    <w:pPr>
      <w:autoSpaceDE w:val="0"/>
      <w:autoSpaceDN w:val="0"/>
      <w:ind w:firstLine="200" w:firstLineChars="200"/>
      <w:jc w:val="both"/>
    </w:pPr>
    <w:rPr>
      <w:rFonts w:ascii="宋体" w:hAnsi="Times New Roman" w:eastAsia="宋体" w:cs="Times New Roman"/>
      <w:szCs w:val="24"/>
      <w:lang w:val="en-US" w:eastAsia="zh-CN" w:bidi="ar-SA"/>
    </w:rPr>
  </w:style>
  <w:style w:type="character" w:customStyle="1" w:styleId="231">
    <w:name w:val="三级目录 Char"/>
    <w:link w:val="232"/>
    <w:qFormat/>
    <w:locked/>
    <w:uiPriority w:val="99"/>
    <w:rPr>
      <w:b/>
      <w:sz w:val="32"/>
      <w:szCs w:val="32"/>
    </w:rPr>
  </w:style>
  <w:style w:type="paragraph" w:customStyle="1" w:styleId="232">
    <w:name w:val="三级目录"/>
    <w:basedOn w:val="4"/>
    <w:link w:val="231"/>
    <w:qFormat/>
    <w:uiPriority w:val="99"/>
    <w:pPr>
      <w:tabs>
        <w:tab w:val="left" w:pos="851"/>
      </w:tabs>
      <w:spacing w:before="260" w:after="260"/>
      <w:ind w:right="210" w:firstLine="0" w:firstLineChars="0"/>
      <w:jc w:val="both"/>
    </w:pPr>
    <w:rPr>
      <w:rFonts w:ascii="Times New Roman"/>
      <w:bCs w:val="0"/>
      <w:kern w:val="0"/>
      <w:sz w:val="32"/>
    </w:rPr>
  </w:style>
  <w:style w:type="character" w:customStyle="1" w:styleId="233">
    <w:name w:val="纯文本 字符3"/>
    <w:qFormat/>
    <w:uiPriority w:val="0"/>
    <w:rPr>
      <w:rFonts w:ascii="宋体"/>
      <w:szCs w:val="24"/>
    </w:rPr>
  </w:style>
  <w:style w:type="character" w:customStyle="1" w:styleId="234">
    <w:name w:val="一级目录 Char"/>
    <w:link w:val="235"/>
    <w:qFormat/>
    <w:locked/>
    <w:uiPriority w:val="0"/>
    <w:rPr>
      <w:b/>
      <w:bCs/>
      <w:kern w:val="44"/>
      <w:sz w:val="36"/>
      <w:szCs w:val="36"/>
    </w:rPr>
  </w:style>
  <w:style w:type="paragraph" w:customStyle="1" w:styleId="235">
    <w:name w:val="一级目录"/>
    <w:basedOn w:val="1"/>
    <w:link w:val="234"/>
    <w:qFormat/>
    <w:uiPriority w:val="0"/>
    <w:pPr>
      <w:keepNext/>
      <w:keepLines/>
      <w:pageBreakBefore/>
      <w:tabs>
        <w:tab w:val="left" w:pos="420"/>
      </w:tabs>
      <w:spacing w:before="340" w:after="330" w:line="576" w:lineRule="auto"/>
      <w:ind w:left="420" w:hanging="420"/>
      <w:outlineLvl w:val="0"/>
    </w:pPr>
    <w:rPr>
      <w:b/>
      <w:bCs/>
      <w:kern w:val="44"/>
      <w:sz w:val="36"/>
      <w:szCs w:val="36"/>
    </w:rPr>
  </w:style>
  <w:style w:type="character" w:customStyle="1" w:styleId="236">
    <w:name w:val="正文文本缩进 Char1"/>
    <w:semiHidden/>
    <w:qFormat/>
    <w:uiPriority w:val="99"/>
  </w:style>
  <w:style w:type="character" w:customStyle="1" w:styleId="237">
    <w:name w:val="Std.Z.1 Char"/>
    <w:link w:val="238"/>
    <w:qFormat/>
    <w:locked/>
    <w:uiPriority w:val="0"/>
    <w:rPr>
      <w:b/>
      <w:sz w:val="24"/>
      <w:szCs w:val="24"/>
    </w:rPr>
  </w:style>
  <w:style w:type="paragraph" w:customStyle="1" w:styleId="238">
    <w:name w:val="Std.Z.1"/>
    <w:basedOn w:val="1"/>
    <w:link w:val="237"/>
    <w:qFormat/>
    <w:uiPriority w:val="0"/>
    <w:pPr>
      <w:spacing w:beforeLines="50" w:line="360" w:lineRule="auto"/>
      <w:ind w:left="1202" w:hanging="720"/>
    </w:pPr>
    <w:rPr>
      <w:b/>
      <w:kern w:val="0"/>
      <w:sz w:val="24"/>
    </w:rPr>
  </w:style>
  <w:style w:type="character" w:customStyle="1" w:styleId="239">
    <w:name w:val="表格标题 Char"/>
    <w:link w:val="240"/>
    <w:qFormat/>
    <w:uiPriority w:val="0"/>
    <w:rPr>
      <w:rFonts w:eastAsia="文鼎CS中宋"/>
      <w:sz w:val="24"/>
      <w:szCs w:val="24"/>
    </w:rPr>
  </w:style>
  <w:style w:type="paragraph" w:customStyle="1" w:styleId="240">
    <w:name w:val="表格标题"/>
    <w:basedOn w:val="1"/>
    <w:link w:val="239"/>
    <w:qFormat/>
    <w:uiPriority w:val="0"/>
    <w:pPr>
      <w:spacing w:before="120"/>
      <w:jc w:val="center"/>
    </w:pPr>
    <w:rPr>
      <w:rFonts w:eastAsia="文鼎CS中宋"/>
      <w:kern w:val="0"/>
      <w:sz w:val="24"/>
    </w:rPr>
  </w:style>
  <w:style w:type="character" w:customStyle="1" w:styleId="241">
    <w:name w:val="列出段落 Char Char"/>
    <w:qFormat/>
    <w:uiPriority w:val="0"/>
    <w:rPr>
      <w:szCs w:val="24"/>
    </w:rPr>
  </w:style>
  <w:style w:type="character" w:customStyle="1" w:styleId="242">
    <w:name w:val="表格-标题 Char"/>
    <w:link w:val="243"/>
    <w:qFormat/>
    <w:locked/>
    <w:uiPriority w:val="0"/>
    <w:rPr>
      <w:b/>
      <w:sz w:val="24"/>
      <w:szCs w:val="24"/>
      <w:lang w:val="en-US" w:eastAsia="zh-CN" w:bidi="ar-SA"/>
    </w:rPr>
  </w:style>
  <w:style w:type="paragraph" w:customStyle="1" w:styleId="243">
    <w:name w:val="表格-标题"/>
    <w:next w:val="1"/>
    <w:link w:val="242"/>
    <w:qFormat/>
    <w:uiPriority w:val="0"/>
    <w:pPr>
      <w:spacing w:line="360" w:lineRule="auto"/>
      <w:contextualSpacing/>
      <w:jc w:val="center"/>
    </w:pPr>
    <w:rPr>
      <w:rFonts w:ascii="Times New Roman" w:hAnsi="Times New Roman" w:eastAsia="宋体" w:cs="Times New Roman"/>
      <w:b/>
      <w:sz w:val="24"/>
      <w:szCs w:val="24"/>
      <w:lang w:val="en-US" w:eastAsia="zh-CN" w:bidi="ar-SA"/>
    </w:rPr>
  </w:style>
  <w:style w:type="paragraph" w:customStyle="1" w:styleId="244">
    <w:name w:val="xl25"/>
    <w:basedOn w:val="1"/>
    <w:qFormat/>
    <w:uiPriority w:val="0"/>
    <w:pPr>
      <w:widowControl/>
      <w:pBdr>
        <w:left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45">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kern w:val="0"/>
      <w:sz w:val="20"/>
      <w:szCs w:val="20"/>
    </w:rPr>
  </w:style>
  <w:style w:type="paragraph" w:customStyle="1" w:styleId="2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7">
    <w:name w:val="xl40"/>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b/>
      <w:bCs/>
      <w:kern w:val="0"/>
      <w:sz w:val="24"/>
    </w:rPr>
  </w:style>
  <w:style w:type="paragraph" w:customStyle="1" w:styleId="248">
    <w:name w:val="目录标题"/>
    <w:basedOn w:val="2"/>
    <w:next w:val="1"/>
    <w:qFormat/>
    <w:uiPriority w:val="39"/>
    <w:pPr>
      <w:keepLines/>
      <w:widowControl/>
      <w:autoSpaceDE/>
      <w:autoSpaceDN/>
      <w:adjustRightInd/>
      <w:spacing w:before="240" w:line="259" w:lineRule="auto"/>
      <w:outlineLvl w:val="9"/>
    </w:pPr>
    <w:rPr>
      <w:rFonts w:ascii="Calibri Light" w:hAnsi="Calibri Light" w:eastAsia="宋体"/>
      <w:b w:val="0"/>
      <w:bCs w:val="0"/>
      <w:color w:val="2E74B5"/>
      <w:sz w:val="32"/>
      <w:szCs w:val="32"/>
    </w:rPr>
  </w:style>
  <w:style w:type="paragraph" w:customStyle="1" w:styleId="249">
    <w:name w:val="font7"/>
    <w:basedOn w:val="1"/>
    <w:qFormat/>
    <w:uiPriority w:val="0"/>
    <w:pPr>
      <w:widowControl/>
      <w:spacing w:before="100" w:beforeLines="0" w:beforeAutospacing="1" w:after="100" w:afterLines="0" w:afterAutospacing="1"/>
      <w:jc w:val="left"/>
    </w:pPr>
    <w:rPr>
      <w:rFonts w:ascii="宋体"/>
      <w:kern w:val="0"/>
      <w:sz w:val="18"/>
      <w:szCs w:val="18"/>
    </w:rPr>
  </w:style>
  <w:style w:type="paragraph" w:customStyle="1" w:styleId="250">
    <w:name w:val="xl48"/>
    <w:basedOn w:val="1"/>
    <w:uiPriority w:val="0"/>
    <w:pPr>
      <w:widowControl/>
      <w:pBdr>
        <w:left w:val="single" w:color="auto" w:sz="8" w:space="0"/>
        <w:bottom w:val="single" w:color="000000" w:sz="8" w:space="0"/>
        <w:right w:val="single" w:color="auto" w:sz="8" w:space="0"/>
      </w:pBdr>
      <w:spacing w:before="100" w:beforeLines="0" w:beforeAutospacing="1" w:after="100" w:afterLines="0" w:afterAutospacing="1"/>
      <w:jc w:val="center"/>
      <w:textAlignment w:val="center"/>
    </w:pPr>
    <w:rPr>
      <w:rFonts w:ascii="宋体"/>
      <w:kern w:val="0"/>
      <w:sz w:val="24"/>
    </w:rPr>
  </w:style>
  <w:style w:type="paragraph" w:customStyle="1" w:styleId="251">
    <w:name w:val="样式 正文缩进 + 首行缩进:  2 字符"/>
    <w:basedOn w:val="12"/>
    <w:qFormat/>
    <w:uiPriority w:val="0"/>
    <w:pPr>
      <w:tabs>
        <w:tab w:val="clear" w:pos="750"/>
      </w:tabs>
      <w:spacing w:before="0" w:beforeLines="0" w:line="360" w:lineRule="auto"/>
    </w:pPr>
    <w:rPr>
      <w:rFonts w:ascii="Calibri" w:hAnsi="Calibri" w:cs="宋体"/>
      <w:sz w:val="24"/>
      <w:lang w:val="en-US" w:eastAsia="zh-CN"/>
    </w:rPr>
  </w:style>
  <w:style w:type="paragraph" w:customStyle="1" w:styleId="252">
    <w:name w:val="正文文本缩进1"/>
    <w:basedOn w:val="1"/>
    <w:uiPriority w:val="0"/>
    <w:pPr>
      <w:spacing w:line="360" w:lineRule="auto"/>
      <w:ind w:left="1"/>
    </w:pPr>
    <w:rPr>
      <w:rFonts w:cs="Times New Roman"/>
      <w:kern w:val="0"/>
      <w:sz w:val="20"/>
      <w:szCs w:val="20"/>
    </w:rPr>
  </w:style>
  <w:style w:type="paragraph" w:customStyle="1" w:styleId="253">
    <w:name w:val="xl37"/>
    <w:basedOn w:val="1"/>
    <w:uiPriority w:val="0"/>
    <w:pPr>
      <w:widowControl/>
      <w:pBdr>
        <w:left w:val="single" w:color="auto" w:sz="8" w:space="0"/>
        <w:bottom w:val="single" w:color="000000"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54">
    <w:name w:val="第四级标题"/>
    <w:basedOn w:val="5"/>
    <w:next w:val="1"/>
    <w:qFormat/>
    <w:uiPriority w:val="99"/>
    <w:pPr>
      <w:tabs>
        <w:tab w:val="left" w:pos="851"/>
      </w:tabs>
      <w:spacing w:line="374" w:lineRule="auto"/>
      <w:ind w:left="851" w:hanging="851"/>
    </w:pPr>
    <w:rPr>
      <w:rFonts w:ascii="Cambria" w:hAnsi="Cambria" w:eastAsia="宋体" w:cs="Times New Roman"/>
      <w:sz w:val="21"/>
    </w:rPr>
  </w:style>
  <w:style w:type="paragraph" w:customStyle="1" w:styleId="255">
    <w:name w:val="Normal Indent"/>
    <w:basedOn w:val="1"/>
    <w:uiPriority w:val="0"/>
    <w:pPr>
      <w:tabs>
        <w:tab w:val="left" w:pos="7980"/>
      </w:tabs>
      <w:spacing w:line="360" w:lineRule="exact"/>
      <w:ind w:firstLine="420"/>
    </w:pPr>
    <w:rPr>
      <w:rFonts w:hint="eastAsia"/>
      <w:lang w:eastAsia="en-US"/>
    </w:rPr>
  </w:style>
  <w:style w:type="paragraph" w:customStyle="1" w:styleId="256">
    <w:name w:val="xl41"/>
    <w:basedOn w:val="1"/>
    <w:uiPriority w:val="0"/>
    <w:pPr>
      <w:widowControl/>
      <w:pBdr>
        <w:top w:val="single" w:color="000000" w:sz="8" w:space="0"/>
        <w:left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57">
    <w:name w:val="列出段落1"/>
    <w:basedOn w:val="258"/>
    <w:qFormat/>
    <w:uiPriority w:val="34"/>
    <w:pPr>
      <w:ind w:firstLine="420" w:firstLineChars="200"/>
    </w:pPr>
  </w:style>
  <w:style w:type="paragraph" w:customStyle="1" w:styleId="258">
    <w:name w:val="正文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59">
    <w:name w:val="xl58"/>
    <w:basedOn w:val="1"/>
    <w:qFormat/>
    <w:uiPriority w:val="0"/>
    <w:pPr>
      <w:widowControl/>
      <w:pBdr>
        <w:top w:val="single" w:color="auto" w:sz="4" w:space="0"/>
        <w:left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260">
    <w:name w:val="pa-1"/>
    <w:basedOn w:val="1"/>
    <w:qFormat/>
    <w:uiPriority w:val="0"/>
    <w:pPr>
      <w:widowControl/>
      <w:spacing w:line="360" w:lineRule="atLeast"/>
      <w:ind w:firstLine="480"/>
    </w:pPr>
    <w:rPr>
      <w:rFonts w:ascii="宋体" w:hAnsi="宋体" w:cs="宋体"/>
      <w:kern w:val="0"/>
      <w:sz w:val="24"/>
    </w:rPr>
  </w:style>
  <w:style w:type="paragraph" w:customStyle="1" w:styleId="261">
    <w:name w:val="yj标题1"/>
    <w:basedOn w:val="1"/>
    <w:qFormat/>
    <w:uiPriority w:val="99"/>
    <w:pPr>
      <w:numPr>
        <w:ilvl w:val="0"/>
        <w:numId w:val="2"/>
      </w:numPr>
      <w:spacing w:line="360" w:lineRule="auto"/>
      <w:outlineLvl w:val="0"/>
    </w:pPr>
    <w:rPr>
      <w:b/>
      <w:sz w:val="44"/>
    </w:rPr>
  </w:style>
  <w:style w:type="paragraph" w:customStyle="1" w:styleId="262">
    <w:name w:val="text1"/>
    <w:basedOn w:val="1"/>
    <w:qFormat/>
    <w:uiPriority w:val="0"/>
    <w:pPr>
      <w:widowControl/>
      <w:spacing w:before="100" w:beforeAutospacing="1" w:after="100" w:afterAutospacing="1" w:line="360" w:lineRule="atLeast"/>
      <w:jc w:val="left"/>
    </w:pPr>
    <w:rPr>
      <w:rFonts w:ascii="宋体" w:hAnsi="宋体" w:cs="宋体"/>
      <w:kern w:val="0"/>
      <w:sz w:val="24"/>
      <w:szCs w:val="21"/>
    </w:rPr>
  </w:style>
  <w:style w:type="paragraph" w:customStyle="1" w:styleId="263">
    <w:name w:val="xl81"/>
    <w:basedOn w:val="1"/>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b/>
      <w:bCs/>
      <w:color w:val="FF0000"/>
      <w:kern w:val="0"/>
      <w:sz w:val="24"/>
    </w:rPr>
  </w:style>
  <w:style w:type="paragraph" w:customStyle="1" w:styleId="264">
    <w:name w:val="WPSOffice手动目录 3"/>
    <w:uiPriority w:val="0"/>
    <w:pPr>
      <w:ind w:leftChars="400"/>
    </w:pPr>
    <w:rPr>
      <w:rFonts w:ascii="Times New Roman" w:hAnsi="Times New Roman" w:eastAsia="宋体" w:cs="Times New Roman"/>
      <w:lang w:val="en-US" w:eastAsia="zh-CN" w:bidi="ar-SA"/>
    </w:rPr>
  </w:style>
  <w:style w:type="paragraph" w:customStyle="1" w:styleId="265">
    <w:name w:val="样式"/>
    <w:basedOn w:val="1"/>
    <w:uiPriority w:val="0"/>
    <w:pPr>
      <w:autoSpaceDE w:val="0"/>
      <w:autoSpaceDN w:val="0"/>
      <w:snapToGrid w:val="0"/>
      <w:spacing w:before="120" w:after="120" w:line="360" w:lineRule="auto"/>
      <w:contextualSpacing/>
    </w:pPr>
    <w:rPr>
      <w:rFonts w:ascii="宋体"/>
      <w:sz w:val="24"/>
    </w:rPr>
  </w:style>
  <w:style w:type="paragraph" w:customStyle="1" w:styleId="266">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Lines="0" w:beforeAutospacing="1" w:after="100" w:afterLines="0" w:afterAutospacing="1"/>
      <w:jc w:val="left"/>
      <w:textAlignment w:val="center"/>
    </w:pPr>
    <w:rPr>
      <w:kern w:val="0"/>
      <w:sz w:val="20"/>
      <w:szCs w:val="20"/>
    </w:rPr>
  </w:style>
  <w:style w:type="paragraph" w:customStyle="1" w:styleId="267">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cs="宋体"/>
      <w:kern w:val="0"/>
      <w:sz w:val="24"/>
    </w:rPr>
  </w:style>
  <w:style w:type="paragraph" w:customStyle="1" w:styleId="268">
    <w:name w:val="xl79"/>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b/>
      <w:bCs/>
      <w:color w:val="FF0000"/>
      <w:kern w:val="0"/>
      <w:sz w:val="24"/>
    </w:rPr>
  </w:style>
  <w:style w:type="paragraph" w:customStyle="1" w:styleId="269">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Lines="0" w:beforeAutospacing="1" w:after="100" w:afterLines="0" w:afterAutospacing="1"/>
      <w:jc w:val="center"/>
      <w:textAlignment w:val="center"/>
    </w:pPr>
    <w:rPr>
      <w:kern w:val="0"/>
      <w:sz w:val="20"/>
      <w:szCs w:val="20"/>
    </w:rPr>
  </w:style>
  <w:style w:type="paragraph" w:customStyle="1" w:styleId="270">
    <w:name w:val="xl63"/>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textAlignment w:val="center"/>
    </w:pPr>
    <w:rPr>
      <w:rFonts w:ascii="宋体"/>
      <w:kern w:val="0"/>
      <w:sz w:val="20"/>
      <w:szCs w:val="20"/>
    </w:rPr>
  </w:style>
  <w:style w:type="paragraph" w:customStyle="1" w:styleId="271">
    <w:name w:val="xl80"/>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b/>
      <w:bCs/>
      <w:color w:val="FF0000"/>
      <w:kern w:val="0"/>
      <w:sz w:val="24"/>
    </w:rPr>
  </w:style>
  <w:style w:type="paragraph" w:customStyle="1" w:styleId="27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xl65"/>
    <w:basedOn w:val="1"/>
    <w:qFormat/>
    <w:uiPriority w:val="0"/>
    <w:pPr>
      <w:widowControl/>
      <w:pBdr>
        <w:left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274">
    <w:name w:val="xl39"/>
    <w:basedOn w:val="1"/>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ascii="仿宋_GB2312" w:eastAsia="仿宋_GB2312"/>
      <w:b/>
      <w:bCs/>
      <w:kern w:val="0"/>
      <w:sz w:val="24"/>
    </w:rPr>
  </w:style>
  <w:style w:type="paragraph" w:customStyle="1" w:styleId="275">
    <w:name w:val="sentence-other1"/>
    <w:basedOn w:val="1"/>
    <w:qFormat/>
    <w:uiPriority w:val="0"/>
    <w:pPr>
      <w:widowControl/>
      <w:spacing w:before="100" w:beforeAutospacing="1" w:after="100" w:afterAutospacing="1" w:line="300" w:lineRule="atLeast"/>
      <w:jc w:val="left"/>
    </w:pPr>
    <w:rPr>
      <w:rFonts w:ascii="Arial" w:hAnsi="Arial" w:cs="Arial"/>
      <w:kern w:val="0"/>
      <w:sz w:val="24"/>
    </w:rPr>
  </w:style>
  <w:style w:type="paragraph" w:customStyle="1" w:styleId="276">
    <w:name w:val="xl77"/>
    <w:basedOn w:val="1"/>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kern w:val="0"/>
      <w:sz w:val="24"/>
    </w:rPr>
  </w:style>
  <w:style w:type="paragraph" w:customStyle="1" w:styleId="277">
    <w:name w:val="xl42"/>
    <w:basedOn w:val="1"/>
    <w:uiPriority w:val="0"/>
    <w:pPr>
      <w:widowControl/>
      <w:pBdr>
        <w:left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78">
    <w:name w:val="xl33"/>
    <w:basedOn w:val="1"/>
    <w:uiPriority w:val="0"/>
    <w:pPr>
      <w:widowControl/>
      <w:pBdr>
        <w:top w:val="single" w:color="auto" w:sz="8" w:space="0"/>
        <w:left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79">
    <w:name w:val="xl78"/>
    <w:basedOn w:val="1"/>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Calibri" w:hAnsi="Calibri" w:cs="Calibri"/>
      <w:color w:val="FF0000"/>
      <w:kern w:val="0"/>
      <w:sz w:val="24"/>
    </w:rPr>
  </w:style>
  <w:style w:type="paragraph" w:customStyle="1" w:styleId="280">
    <w:name w:val="Normal1"/>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1">
    <w:name w:val="列出段落4"/>
    <w:basedOn w:val="1"/>
    <w:qFormat/>
    <w:uiPriority w:val="0"/>
    <w:pPr>
      <w:ind w:firstLine="420" w:firstLineChars="200"/>
    </w:pPr>
  </w:style>
  <w:style w:type="paragraph" w:customStyle="1" w:styleId="282">
    <w:name w:val="封面一致性程度标识"/>
    <w:qFormat/>
    <w:uiPriority w:val="0"/>
    <w:pPr>
      <w:spacing w:before="440" w:line="400" w:lineRule="exact"/>
      <w:ind w:left="840"/>
      <w:jc w:val="center"/>
    </w:pPr>
    <w:rPr>
      <w:rFonts w:ascii="宋体" w:hAnsi="Times New Roman" w:eastAsia="宋体" w:cs="Times New Roman"/>
      <w:sz w:val="28"/>
      <w:lang w:val="en-US" w:eastAsia="zh-CN" w:bidi="ar-SA"/>
    </w:rPr>
  </w:style>
  <w:style w:type="paragraph" w:customStyle="1" w:styleId="283">
    <w:name w:val="opening2"/>
    <w:basedOn w:val="1"/>
    <w:qFormat/>
    <w:uiPriority w:val="0"/>
    <w:pPr>
      <w:widowControl/>
      <w:spacing w:before="100" w:beforeAutospacing="1" w:after="100" w:afterAutospacing="1" w:line="360" w:lineRule="auto"/>
      <w:jc w:val="left"/>
    </w:pPr>
    <w:rPr>
      <w:rFonts w:ascii="宋体" w:hAnsi="宋体"/>
      <w:color w:val="000000"/>
      <w:kern w:val="0"/>
      <w:sz w:val="23"/>
      <w:szCs w:val="23"/>
    </w:rPr>
  </w:style>
  <w:style w:type="paragraph" w:customStyle="1" w:styleId="284">
    <w:name w:val="第一级标题"/>
    <w:basedOn w:val="2"/>
    <w:next w:val="1"/>
    <w:qFormat/>
    <w:uiPriority w:val="99"/>
    <w:pPr>
      <w:keepLines/>
      <w:numPr>
        <w:ilvl w:val="0"/>
        <w:numId w:val="3"/>
      </w:numPr>
      <w:autoSpaceDE/>
      <w:autoSpaceDN/>
      <w:adjustRightInd/>
      <w:spacing w:before="340" w:after="330" w:line="576" w:lineRule="auto"/>
      <w:jc w:val="both"/>
    </w:pPr>
    <w:rPr>
      <w:rFonts w:ascii="Calibri" w:hAnsi="Calibri" w:eastAsia="宋体"/>
      <w:color w:val="auto"/>
      <w:kern w:val="44"/>
      <w:sz w:val="44"/>
      <w:szCs w:val="44"/>
    </w:rPr>
  </w:style>
  <w:style w:type="paragraph" w:customStyle="1" w:styleId="285">
    <w:name w:val="Char Char Char Char Char Char1 Char"/>
    <w:basedOn w:val="1"/>
    <w:qFormat/>
    <w:uiPriority w:val="0"/>
    <w:pPr>
      <w:numPr>
        <w:ilvl w:val="0"/>
        <w:numId w:val="4"/>
      </w:numPr>
      <w:tabs>
        <w:tab w:val="clear" w:pos="740"/>
      </w:tabs>
      <w:ind w:left="0" w:firstLine="0"/>
    </w:pPr>
    <w:rPr>
      <w:b/>
      <w:sz w:val="24"/>
    </w:rPr>
  </w:style>
  <w:style w:type="paragraph" w:customStyle="1" w:styleId="286">
    <w:name w:val="xl28"/>
    <w:basedOn w:val="1"/>
    <w:uiPriority w:val="0"/>
    <w:pPr>
      <w:widowControl/>
      <w:pBdr>
        <w:left w:val="single" w:color="auto" w:sz="8" w:space="0"/>
        <w:bottom w:val="single" w:color="auto" w:sz="8" w:space="0"/>
        <w:right w:val="single" w:color="auto" w:sz="8" w:space="0"/>
      </w:pBdr>
      <w:spacing w:before="100" w:beforeLines="0" w:beforeAutospacing="1" w:after="100" w:afterLines="0" w:afterAutospacing="1"/>
      <w:jc w:val="left"/>
    </w:pPr>
    <w:rPr>
      <w:rFonts w:ascii="宋体"/>
      <w:kern w:val="0"/>
      <w:sz w:val="24"/>
    </w:rPr>
  </w:style>
  <w:style w:type="paragraph" w:customStyle="1" w:styleId="287">
    <w:name w:val="xl73"/>
    <w:basedOn w:val="1"/>
    <w:qFormat/>
    <w:uiPriority w:val="0"/>
    <w:pPr>
      <w:widowControl/>
      <w:pBdr>
        <w:bottom w:val="single" w:color="000000" w:sz="8" w:space="0"/>
        <w:right w:val="single" w:color="000000" w:sz="8" w:space="0"/>
      </w:pBdr>
      <w:spacing w:before="100" w:beforeAutospacing="1" w:after="100" w:afterAutospacing="1"/>
      <w:jc w:val="left"/>
      <w:textAlignment w:val="top"/>
    </w:pPr>
    <w:rPr>
      <w:rFonts w:ascii="宋体" w:hAnsi="宋体" w:cs="宋体"/>
      <w:color w:val="00B0F0"/>
      <w:kern w:val="0"/>
      <w:sz w:val="24"/>
    </w:rPr>
  </w:style>
  <w:style w:type="paragraph" w:customStyle="1" w:styleId="288">
    <w:name w:val="xl75"/>
    <w:basedOn w:val="1"/>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289">
    <w:name w:val="Bullet_Title"/>
    <w:basedOn w:val="1"/>
    <w:qFormat/>
    <w:uiPriority w:val="0"/>
    <w:pPr>
      <w:tabs>
        <w:tab w:val="left" w:pos="814"/>
      </w:tabs>
      <w:spacing w:after="78" w:line="300" w:lineRule="auto"/>
      <w:ind w:left="794" w:hanging="340"/>
    </w:pPr>
    <w:rPr>
      <w:rFonts w:ascii="Arial Narrow" w:hAnsi="Arial Narrow"/>
      <w:sz w:val="24"/>
      <w:szCs w:val="20"/>
    </w:rPr>
  </w:style>
  <w:style w:type="paragraph" w:customStyle="1" w:styleId="290">
    <w:name w:val="列出段落2"/>
    <w:basedOn w:val="1"/>
    <w:qFormat/>
    <w:uiPriority w:val="34"/>
    <w:pPr>
      <w:ind w:firstLine="420" w:firstLineChars="200"/>
    </w:pPr>
  </w:style>
  <w:style w:type="paragraph" w:customStyle="1" w:styleId="291">
    <w:name w:val="Default"/>
    <w:qFormat/>
    <w:uiPriority w:val="0"/>
    <w:pPr>
      <w:widowControl w:val="0"/>
      <w:autoSpaceDE w:val="0"/>
      <w:autoSpaceDN w:val="0"/>
      <w:adjustRightInd w:val="0"/>
      <w:spacing w:line="360" w:lineRule="auto"/>
      <w:ind w:firstLine="250" w:firstLineChars="250"/>
    </w:pPr>
    <w:rPr>
      <w:rFonts w:ascii="宋体峲.磱.." w:hAnsi="Times New Roman" w:eastAsia="宋体峲.磱.." w:cs="宋体峲.磱.."/>
      <w:color w:val="000000"/>
      <w:sz w:val="24"/>
      <w:szCs w:val="24"/>
      <w:lang w:val="en-US" w:eastAsia="zh-CN" w:bidi="ar-SA"/>
    </w:rPr>
  </w:style>
  <w:style w:type="paragraph" w:styleId="292">
    <w:name w:val="No Spacing"/>
    <w:qFormat/>
    <w:uiPriority w:val="0"/>
    <w:rPr>
      <w:rFonts w:ascii="Calibri" w:hAnsi="Calibri" w:eastAsia="宋体" w:cs="Times New Roman"/>
      <w:sz w:val="22"/>
      <w:szCs w:val="22"/>
      <w:lang w:val="en-US" w:eastAsia="en-US" w:bidi="en-US"/>
    </w:rPr>
  </w:style>
  <w:style w:type="paragraph" w:customStyle="1" w:styleId="293">
    <w:name w:val="第三极标题"/>
    <w:basedOn w:val="4"/>
    <w:next w:val="1"/>
    <w:qFormat/>
    <w:uiPriority w:val="99"/>
    <w:pPr>
      <w:numPr>
        <w:ilvl w:val="2"/>
        <w:numId w:val="3"/>
      </w:numPr>
      <w:tabs>
        <w:tab w:val="left" w:pos="851"/>
      </w:tabs>
      <w:spacing w:before="260" w:after="260" w:line="415" w:lineRule="auto"/>
      <w:ind w:right="210" w:firstLineChars="0"/>
      <w:jc w:val="both"/>
    </w:pPr>
    <w:rPr>
      <w:rFonts w:ascii="Calibri" w:hAnsi="Calibri"/>
      <w:bCs w:val="0"/>
      <w:sz w:val="32"/>
    </w:rPr>
  </w:style>
  <w:style w:type="paragraph" w:customStyle="1" w:styleId="294">
    <w:name w:val="标题 5（无编号）（绿盟科技）"/>
    <w:basedOn w:val="6"/>
    <w:next w:val="295"/>
    <w:qFormat/>
    <w:uiPriority w:val="99"/>
    <w:pPr>
      <w:adjustRightInd/>
      <w:spacing w:before="120" w:after="156" w:line="376" w:lineRule="auto"/>
      <w:jc w:val="left"/>
      <w:textAlignment w:val="auto"/>
    </w:pPr>
    <w:rPr>
      <w:rFonts w:ascii="Arial" w:hAnsi="Arial" w:eastAsia="黑体"/>
      <w:color w:val="000000"/>
      <w:kern w:val="2"/>
      <w:sz w:val="24"/>
    </w:rPr>
  </w:style>
  <w:style w:type="paragraph" w:customStyle="1" w:styleId="295">
    <w:name w:val="正文（绿盟科技）"/>
    <w:qFormat/>
    <w:uiPriority w:val="99"/>
    <w:pPr>
      <w:spacing w:line="300" w:lineRule="auto"/>
    </w:pPr>
    <w:rPr>
      <w:rFonts w:ascii="Arial" w:hAnsi="Arial" w:eastAsia="宋体" w:cs="Times New Roman"/>
      <w:sz w:val="21"/>
      <w:szCs w:val="21"/>
      <w:lang w:val="en-US" w:eastAsia="zh-CN" w:bidi="ar-SA"/>
    </w:rPr>
  </w:style>
  <w:style w:type="paragraph" w:customStyle="1" w:styleId="296">
    <w:name w:val="xl24"/>
    <w:basedOn w:val="1"/>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297">
    <w:name w:val="样式 标题 2 Char CharPIM2H2Heading 2 HiddenHeading 2 CCBSheadi..."/>
    <w:basedOn w:val="3"/>
    <w:qFormat/>
    <w:uiPriority w:val="0"/>
    <w:pPr>
      <w:numPr>
        <w:ilvl w:val="1"/>
        <w:numId w:val="5"/>
      </w:numPr>
      <w:tabs>
        <w:tab w:val="left" w:pos="2196"/>
      </w:tabs>
      <w:spacing w:before="260" w:after="260" w:line="240" w:lineRule="auto"/>
      <w:ind w:left="726" w:leftChars="100" w:right="100" w:rightChars="100"/>
      <w:jc w:val="left"/>
    </w:pPr>
    <w:rPr>
      <w:rFonts w:ascii="宋体" w:hAnsi="宋体"/>
      <w:sz w:val="32"/>
      <w:lang w:val="en-US" w:eastAsia="zh-CN"/>
    </w:rPr>
  </w:style>
  <w:style w:type="paragraph" w:customStyle="1" w:styleId="298">
    <w:name w:val="xl82"/>
    <w:basedOn w:val="1"/>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pPr>
    <w:rPr>
      <w:rFonts w:ascii="宋体" w:hAnsi="宋体" w:cs="宋体"/>
      <w:color w:val="FF0000"/>
      <w:kern w:val="0"/>
      <w:sz w:val="24"/>
    </w:rPr>
  </w:style>
  <w:style w:type="paragraph" w:customStyle="1" w:styleId="29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0">
    <w:name w:val="pa-2"/>
    <w:basedOn w:val="1"/>
    <w:qFormat/>
    <w:uiPriority w:val="0"/>
    <w:pPr>
      <w:widowControl/>
      <w:spacing w:line="360" w:lineRule="atLeast"/>
      <w:ind w:firstLine="3200"/>
    </w:pPr>
    <w:rPr>
      <w:rFonts w:ascii="宋体" w:hAnsi="宋体" w:cs="宋体"/>
      <w:kern w:val="0"/>
      <w:sz w:val="24"/>
    </w:rPr>
  </w:style>
  <w:style w:type="paragraph" w:customStyle="1" w:styleId="301">
    <w:name w:val="标题3无编号"/>
    <w:basedOn w:val="4"/>
    <w:qFormat/>
    <w:uiPriority w:val="0"/>
    <w:pPr>
      <w:tabs>
        <w:tab w:val="left" w:pos="420"/>
      </w:tabs>
      <w:spacing w:before="260" w:after="260"/>
      <w:ind w:left="300" w:leftChars="300" w:firstLine="0" w:firstLineChars="0"/>
      <w:jc w:val="both"/>
    </w:pPr>
    <w:rPr>
      <w:rFonts w:hAnsi="宋体"/>
      <w:b w:val="0"/>
      <w:szCs w:val="28"/>
    </w:rPr>
  </w:style>
  <w:style w:type="paragraph" w:customStyle="1" w:styleId="302">
    <w:name w:val="发布部门"/>
    <w:next w:val="23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03">
    <w:name w:val=" Char Char Char Char Char Char Char Char Char Char"/>
    <w:basedOn w:val="1"/>
    <w:uiPriority w:val="0"/>
    <w:rPr>
      <w:rFonts w:ascii="Tahoma" w:hAnsi="Tahoma"/>
      <w:sz w:val="24"/>
      <w:szCs w:val="20"/>
    </w:rPr>
  </w:style>
  <w:style w:type="paragraph" w:customStyle="1" w:styleId="304">
    <w:name w:val="xl47"/>
    <w:basedOn w:val="1"/>
    <w:uiPriority w:val="0"/>
    <w:pPr>
      <w:widowControl/>
      <w:pBdr>
        <w:left w:val="single" w:color="auto" w:sz="8" w:space="0"/>
        <w:right w:val="single" w:color="auto" w:sz="8" w:space="0"/>
      </w:pBdr>
      <w:spacing w:before="100" w:beforeLines="0" w:beforeAutospacing="1" w:after="100" w:afterLines="0" w:afterAutospacing="1"/>
      <w:jc w:val="center"/>
      <w:textAlignment w:val="center"/>
    </w:pPr>
    <w:rPr>
      <w:rFonts w:ascii="宋体"/>
      <w:kern w:val="0"/>
      <w:sz w:val="24"/>
    </w:rPr>
  </w:style>
  <w:style w:type="paragraph" w:customStyle="1" w:styleId="305">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306">
    <w:name w:val="xl36"/>
    <w:basedOn w:val="1"/>
    <w:qFormat/>
    <w:uiPriority w:val="0"/>
    <w:pPr>
      <w:widowControl/>
      <w:pBdr>
        <w:top w:val="single" w:color="auto" w:sz="8" w:space="0"/>
        <w:left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307">
    <w:name w:val="xl38"/>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ascii="仿宋_GB2312" w:eastAsia="仿宋_GB2312"/>
      <w:b/>
      <w:bCs/>
      <w:kern w:val="0"/>
      <w:sz w:val="24"/>
    </w:rPr>
  </w:style>
  <w:style w:type="paragraph" w:customStyle="1" w:styleId="308">
    <w:name w:val="yj正文"/>
    <w:basedOn w:val="1"/>
    <w:qFormat/>
    <w:uiPriority w:val="99"/>
    <w:pPr>
      <w:spacing w:line="360" w:lineRule="auto"/>
      <w:ind w:left="420" w:hanging="420"/>
      <w:jc w:val="left"/>
    </w:pPr>
    <w:rPr>
      <w:b/>
      <w:sz w:val="24"/>
      <w:szCs w:val="44"/>
    </w:rPr>
  </w:style>
  <w:style w:type="paragraph" w:customStyle="1" w:styleId="309">
    <w:name w:val="WPSOffice手动目录 2"/>
    <w:qFormat/>
    <w:uiPriority w:val="0"/>
    <w:pPr>
      <w:ind w:leftChars="200"/>
    </w:pPr>
    <w:rPr>
      <w:rFonts w:ascii="Times New Roman" w:hAnsi="Times New Roman" w:eastAsia="宋体" w:cs="Times New Roman"/>
      <w:lang w:val="en-US" w:eastAsia="zh-CN" w:bidi="ar-SA"/>
    </w:rPr>
  </w:style>
  <w:style w:type="paragraph" w:customStyle="1" w:styleId="310">
    <w:name w:val="一级条标题"/>
    <w:basedOn w:val="311"/>
    <w:next w:val="230"/>
    <w:qFormat/>
    <w:uiPriority w:val="0"/>
    <w:pPr>
      <w:numPr>
        <w:ilvl w:val="2"/>
        <w:numId w:val="6"/>
      </w:numPr>
      <w:spacing w:before="0" w:beforeLines="0" w:after="0" w:afterLines="0"/>
      <w:outlineLvl w:val="2"/>
    </w:pPr>
  </w:style>
  <w:style w:type="paragraph" w:customStyle="1" w:styleId="311">
    <w:name w:val="章标题"/>
    <w:next w:val="230"/>
    <w:qFormat/>
    <w:uiPriority w:val="0"/>
    <w:pPr>
      <w:numPr>
        <w:ilvl w:val="1"/>
        <w:numId w:val="6"/>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312">
    <w:name w:val="font9"/>
    <w:basedOn w:val="1"/>
    <w:qFormat/>
    <w:uiPriority w:val="0"/>
    <w:pPr>
      <w:widowControl/>
      <w:spacing w:before="100" w:beforeLines="0" w:beforeAutospacing="1" w:after="100" w:afterLines="0" w:afterAutospacing="1"/>
      <w:jc w:val="left"/>
    </w:pPr>
    <w:rPr>
      <w:rFonts w:ascii="宋体"/>
      <w:b/>
      <w:bCs/>
      <w:color w:val="000000"/>
      <w:kern w:val="0"/>
      <w:sz w:val="18"/>
      <w:szCs w:val="18"/>
    </w:rPr>
  </w:style>
  <w:style w:type="paragraph" w:customStyle="1" w:styleId="313">
    <w:name w:val="pa-3"/>
    <w:basedOn w:val="1"/>
    <w:qFormat/>
    <w:uiPriority w:val="0"/>
    <w:pPr>
      <w:widowControl/>
      <w:spacing w:line="360" w:lineRule="atLeast"/>
      <w:ind w:firstLine="4060"/>
    </w:pPr>
    <w:rPr>
      <w:rFonts w:ascii="宋体" w:hAnsi="宋体" w:cs="宋体"/>
      <w:kern w:val="0"/>
      <w:sz w:val="24"/>
    </w:rPr>
  </w:style>
  <w:style w:type="paragraph" w:customStyle="1" w:styleId="314">
    <w:name w:val="节标题"/>
    <w:basedOn w:val="1"/>
    <w:qFormat/>
    <w:uiPriority w:val="0"/>
    <w:pPr>
      <w:widowControl/>
      <w:spacing w:line="289" w:lineRule="atLeast"/>
      <w:jc w:val="center"/>
      <w:textAlignment w:val="baseline"/>
    </w:pPr>
    <w:rPr>
      <w:color w:val="000000"/>
      <w:kern w:val="0"/>
      <w:sz w:val="28"/>
      <w:szCs w:val="20"/>
      <w:u w:val="none" w:color="000000"/>
    </w:rPr>
  </w:style>
  <w:style w:type="paragraph" w:customStyle="1" w:styleId="315">
    <w:name w:val="xl32"/>
    <w:basedOn w:val="1"/>
    <w:qFormat/>
    <w:uiPriority w:val="0"/>
    <w:pPr>
      <w:widowControl/>
      <w:pBdr>
        <w:top w:val="single" w:color="auto" w:sz="8" w:space="0"/>
        <w:left w:val="single" w:color="auto" w:sz="8" w:space="0"/>
        <w:right w:val="single" w:color="auto" w:sz="8" w:space="0"/>
      </w:pBdr>
      <w:spacing w:before="100" w:beforeLines="0" w:beforeAutospacing="1" w:after="100" w:afterLines="0" w:afterAutospacing="1"/>
      <w:jc w:val="left"/>
    </w:pPr>
    <w:rPr>
      <w:rFonts w:ascii="宋体"/>
      <w:b/>
      <w:bCs/>
      <w:kern w:val="0"/>
      <w:sz w:val="24"/>
    </w:rPr>
  </w:style>
  <w:style w:type="paragraph" w:customStyle="1" w:styleId="316">
    <w:name w:val="表格"/>
    <w:basedOn w:val="1"/>
    <w:qFormat/>
    <w:uiPriority w:val="0"/>
    <w:pPr>
      <w:tabs>
        <w:tab w:val="left" w:pos="1200"/>
      </w:tabs>
      <w:spacing w:line="500" w:lineRule="exact"/>
      <w:jc w:val="center"/>
    </w:pPr>
    <w:rPr>
      <w:rFonts w:ascii="宋体"/>
      <w:sz w:val="24"/>
      <w:szCs w:val="18"/>
    </w:rPr>
  </w:style>
  <w:style w:type="paragraph" w:customStyle="1" w:styleId="317">
    <w:name w:val="其他发布部门"/>
    <w:basedOn w:val="302"/>
    <w:qFormat/>
    <w:uiPriority w:val="0"/>
    <w:pPr>
      <w:numPr>
        <w:ilvl w:val="4"/>
        <w:numId w:val="7"/>
      </w:numPr>
      <w:spacing w:line="0" w:lineRule="atLeast"/>
    </w:pPr>
    <w:rPr>
      <w:rFonts w:ascii="黑体" w:eastAsia="黑体"/>
      <w:b w:val="0"/>
    </w:rPr>
  </w:style>
  <w:style w:type="paragraph" w:customStyle="1" w:styleId="318">
    <w:name w:val="xl45"/>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pPr>
    <w:rPr>
      <w:rFonts w:ascii="仿宋_GB2312" w:eastAsia="仿宋_GB2312"/>
      <w:b/>
      <w:bCs/>
      <w:kern w:val="0"/>
      <w:sz w:val="24"/>
    </w:rPr>
  </w:style>
  <w:style w:type="paragraph" w:customStyle="1" w:styleId="319">
    <w:name w:val="Table Paragraph"/>
    <w:basedOn w:val="1"/>
    <w:qFormat/>
    <w:uiPriority w:val="1"/>
    <w:rPr>
      <w:rFonts w:ascii="宋体" w:hAnsi="宋体" w:eastAsia="宋体" w:cs="宋体"/>
      <w:lang w:val="zh-CN" w:eastAsia="zh-CN" w:bidi="zh-CN"/>
    </w:rPr>
  </w:style>
  <w:style w:type="paragraph" w:customStyle="1" w:styleId="320">
    <w:name w:val="xl43"/>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pPr>
    <w:rPr>
      <w:rFonts w:ascii="仿宋_GB2312" w:eastAsia="仿宋_GB2312"/>
      <w:b/>
      <w:bCs/>
      <w:kern w:val="0"/>
      <w:sz w:val="24"/>
    </w:rPr>
  </w:style>
  <w:style w:type="paragraph" w:customStyle="1" w:styleId="321">
    <w:name w:val=" Char"/>
    <w:basedOn w:val="1"/>
    <w:qFormat/>
    <w:uiPriority w:val="0"/>
  </w:style>
  <w:style w:type="paragraph" w:customStyle="1" w:styleId="322">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Lines="0" w:beforeAutospacing="1" w:after="100" w:afterLines="0" w:afterAutospacing="1"/>
      <w:jc w:val="left"/>
    </w:pPr>
    <w:rPr>
      <w:rFonts w:ascii="宋体"/>
      <w:kern w:val="0"/>
      <w:sz w:val="24"/>
    </w:rPr>
  </w:style>
  <w:style w:type="paragraph" w:customStyle="1" w:styleId="323">
    <w:name w:val="简单回函地址"/>
    <w:basedOn w:val="1"/>
    <w:qFormat/>
    <w:uiPriority w:val="0"/>
    <w:rPr>
      <w:rFonts w:eastAsia="仿宋_GB2312"/>
      <w:sz w:val="28"/>
    </w:rPr>
  </w:style>
  <w:style w:type="paragraph" w:customStyle="1" w:styleId="324">
    <w:name w:val="前言、引言标题"/>
    <w:next w:val="1"/>
    <w:qFormat/>
    <w:uiPriority w:val="0"/>
    <w:pPr>
      <w:numPr>
        <w:ilvl w:val="0"/>
        <w:numId w:val="7"/>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25">
    <w:name w:val="xl84"/>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Calibri" w:hAnsi="Calibri" w:cs="Calibri"/>
      <w:color w:val="FF0000"/>
      <w:kern w:val="0"/>
      <w:szCs w:val="21"/>
    </w:rPr>
  </w:style>
  <w:style w:type="paragraph" w:customStyle="1" w:styleId="326">
    <w:name w:val="第二级标题"/>
    <w:basedOn w:val="3"/>
    <w:next w:val="1"/>
    <w:qFormat/>
    <w:uiPriority w:val="99"/>
    <w:pPr>
      <w:numPr>
        <w:ilvl w:val="1"/>
        <w:numId w:val="3"/>
      </w:numPr>
      <w:snapToGrid w:val="0"/>
      <w:spacing w:before="260" w:after="260" w:line="415" w:lineRule="auto"/>
      <w:jc w:val="both"/>
    </w:pPr>
    <w:rPr>
      <w:rFonts w:ascii="Cambria" w:hAnsi="Cambria" w:cs="Calibri"/>
      <w:bCs w:val="0"/>
      <w:w w:val="1"/>
      <w:sz w:val="36"/>
      <w:szCs w:val="36"/>
      <w:lang w:val="en-US" w:eastAsia="zh-CN"/>
    </w:rPr>
  </w:style>
  <w:style w:type="paragraph" w:customStyle="1" w:styleId="327">
    <w:name w:val="xl76"/>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3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29">
    <w:name w:val="xl31"/>
    <w:basedOn w:val="1"/>
    <w:qFormat/>
    <w:uiPriority w:val="0"/>
    <w:pPr>
      <w:widowControl/>
      <w:pBdr>
        <w:left w:val="single" w:color="auto" w:sz="8" w:space="0"/>
        <w:bottom w:val="single" w:color="auto" w:sz="8" w:space="0"/>
        <w:right w:val="single" w:color="auto" w:sz="8" w:space="0"/>
      </w:pBdr>
      <w:spacing w:before="100" w:beforeLines="0" w:beforeAutospacing="1" w:after="100" w:afterLines="0" w:afterAutospacing="1"/>
      <w:textAlignment w:val="top"/>
    </w:pPr>
    <w:rPr>
      <w:rFonts w:ascii="仿宋_GB2312" w:eastAsia="仿宋_GB2312"/>
      <w:kern w:val="0"/>
      <w:sz w:val="24"/>
    </w:rPr>
  </w:style>
  <w:style w:type="paragraph" w:customStyle="1" w:styleId="330">
    <w:name w:val="无标题条"/>
    <w:next w:val="230"/>
    <w:qFormat/>
    <w:uiPriority w:val="0"/>
    <w:pPr>
      <w:numPr>
        <w:ilvl w:val="6"/>
        <w:numId w:val="7"/>
      </w:numPr>
      <w:jc w:val="both"/>
    </w:pPr>
    <w:rPr>
      <w:rFonts w:ascii="Times New Roman" w:hAnsi="Times New Roman" w:eastAsia="宋体" w:cs="Times New Roman"/>
      <w:sz w:val="21"/>
      <w:lang w:val="en-US" w:eastAsia="zh-CN" w:bidi="ar-SA"/>
    </w:rPr>
  </w:style>
  <w:style w:type="paragraph" w:customStyle="1" w:styleId="331">
    <w:name w:val="TOC 标题2"/>
    <w:basedOn w:val="2"/>
    <w:next w:val="1"/>
    <w:unhideWhenUsed/>
    <w:qFormat/>
    <w:uiPriority w:val="39"/>
    <w:pPr>
      <w:keepLines/>
      <w:widowControl/>
      <w:autoSpaceDE/>
      <w:autoSpaceDN/>
      <w:adjustRightInd/>
      <w:spacing w:before="480" w:line="276" w:lineRule="auto"/>
      <w:outlineLvl w:val="9"/>
    </w:pPr>
    <w:rPr>
      <w:rFonts w:ascii="Cambria" w:hAnsi="Cambria" w:eastAsia="宋体"/>
      <w:color w:val="365F91"/>
      <w:szCs w:val="28"/>
    </w:rPr>
  </w:style>
  <w:style w:type="paragraph" w:customStyle="1" w:styleId="332">
    <w:name w:val="xl46"/>
    <w:basedOn w:val="1"/>
    <w:qFormat/>
    <w:uiPriority w:val="0"/>
    <w:pPr>
      <w:widowControl/>
      <w:pBdr>
        <w:top w:val="single" w:color="auto" w:sz="8" w:space="0"/>
        <w:left w:val="single" w:color="auto" w:sz="8" w:space="0"/>
        <w:right w:val="single" w:color="auto" w:sz="8" w:space="0"/>
      </w:pBdr>
      <w:spacing w:before="100" w:beforeLines="0" w:beforeAutospacing="1" w:after="100" w:afterLines="0" w:afterAutospacing="1"/>
      <w:jc w:val="center"/>
      <w:textAlignment w:val="center"/>
    </w:pPr>
    <w:rPr>
      <w:rFonts w:ascii="宋体"/>
      <w:kern w:val="0"/>
      <w:sz w:val="24"/>
    </w:rPr>
  </w:style>
  <w:style w:type="paragraph" w:customStyle="1" w:styleId="333">
    <w:name w:val="xl44"/>
    <w:basedOn w:val="1"/>
    <w:qFormat/>
    <w:uiPriority w:val="0"/>
    <w:pPr>
      <w:widowControl/>
      <w:pBdr>
        <w:top w:val="single" w:color="auto" w:sz="8" w:space="0"/>
        <w:bottom w:val="single" w:color="auto" w:sz="8" w:space="0"/>
      </w:pBdr>
      <w:spacing w:before="100" w:beforeLines="0" w:beforeAutospacing="1" w:after="100" w:afterLines="0" w:afterAutospacing="1"/>
      <w:jc w:val="center"/>
    </w:pPr>
    <w:rPr>
      <w:rFonts w:ascii="仿宋_GB2312" w:eastAsia="仿宋_GB2312"/>
      <w:b/>
      <w:bCs/>
      <w:kern w:val="0"/>
      <w:sz w:val="24"/>
    </w:rPr>
  </w:style>
  <w:style w:type="paragraph" w:customStyle="1" w:styleId="334">
    <w:name w:val="yj标题2"/>
    <w:basedOn w:val="1"/>
    <w:qFormat/>
    <w:uiPriority w:val="99"/>
    <w:pPr>
      <w:numPr>
        <w:ilvl w:val="1"/>
        <w:numId w:val="2"/>
      </w:numPr>
      <w:spacing w:line="360" w:lineRule="auto"/>
      <w:outlineLvl w:val="1"/>
    </w:pPr>
    <w:rPr>
      <w:b/>
      <w:sz w:val="32"/>
    </w:rPr>
  </w:style>
  <w:style w:type="paragraph" w:customStyle="1" w:styleId="335">
    <w:name w:val="yj正文首行缩进"/>
    <w:basedOn w:val="1"/>
    <w:qFormat/>
    <w:uiPriority w:val="99"/>
    <w:pPr>
      <w:spacing w:line="360" w:lineRule="auto"/>
      <w:ind w:left="480"/>
      <w:jc w:val="left"/>
    </w:pPr>
    <w:rPr>
      <w:sz w:val="24"/>
    </w:rPr>
  </w:style>
  <w:style w:type="paragraph" w:customStyle="1" w:styleId="33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ascii="宋体"/>
      <w:kern w:val="0"/>
      <w:sz w:val="20"/>
      <w:szCs w:val="20"/>
    </w:rPr>
  </w:style>
  <w:style w:type="paragraph" w:customStyle="1" w:styleId="337">
    <w:name w:val="样式1"/>
    <w:basedOn w:val="4"/>
    <w:qFormat/>
    <w:uiPriority w:val="0"/>
    <w:pPr>
      <w:widowControl/>
      <w:numPr>
        <w:ilvl w:val="0"/>
        <w:numId w:val="8"/>
      </w:numPr>
      <w:spacing w:before="260" w:after="260" w:line="416" w:lineRule="auto"/>
      <w:ind w:right="100" w:rightChars="100" w:firstLineChars="0"/>
      <w:jc w:val="left"/>
    </w:pPr>
    <w:rPr>
      <w:rFonts w:ascii="Times New Roman"/>
      <w:sz w:val="28"/>
      <w:szCs w:val="28"/>
    </w:rPr>
  </w:style>
  <w:style w:type="paragraph" w:customStyle="1" w:styleId="338">
    <w:name w:val="变更历史"/>
    <w:basedOn w:val="1"/>
    <w:qFormat/>
    <w:uiPriority w:val="0"/>
    <w:pPr>
      <w:widowControl/>
      <w:adjustRightInd w:val="0"/>
      <w:spacing w:beforeLines="50" w:afterLines="50" w:line="360" w:lineRule="atLeast"/>
      <w:jc w:val="left"/>
      <w:textAlignment w:val="baseline"/>
    </w:pPr>
    <w:rPr>
      <w:rFonts w:eastAsia="黑体" w:cs="宋体"/>
      <w:kern w:val="0"/>
      <w:sz w:val="30"/>
      <w:szCs w:val="20"/>
    </w:rPr>
  </w:style>
  <w:style w:type="paragraph" w:customStyle="1" w:styleId="339">
    <w:name w:val="font8"/>
    <w:basedOn w:val="1"/>
    <w:qFormat/>
    <w:uiPriority w:val="0"/>
    <w:pPr>
      <w:widowControl/>
      <w:spacing w:before="100" w:beforeLines="0" w:beforeAutospacing="1" w:after="100" w:afterLines="0" w:afterAutospacing="1"/>
      <w:jc w:val="left"/>
    </w:pPr>
    <w:rPr>
      <w:kern w:val="0"/>
      <w:sz w:val="20"/>
      <w:szCs w:val="20"/>
    </w:rPr>
  </w:style>
  <w:style w:type="paragraph" w:customStyle="1" w:styleId="340">
    <w:name w:val="xl71"/>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Calibri" w:hAnsi="Calibri" w:cs="Calibri"/>
      <w:color w:val="FF0000"/>
      <w:kern w:val="0"/>
      <w:sz w:val="24"/>
    </w:rPr>
  </w:style>
  <w:style w:type="paragraph" w:customStyle="1" w:styleId="341">
    <w:name w:val="项目编号"/>
    <w:basedOn w:val="12"/>
    <w:qFormat/>
    <w:uiPriority w:val="0"/>
    <w:pPr>
      <w:widowControl/>
      <w:numPr>
        <w:ilvl w:val="0"/>
        <w:numId w:val="9"/>
      </w:numPr>
      <w:tabs>
        <w:tab w:val="clear" w:pos="750"/>
      </w:tabs>
      <w:spacing w:before="0" w:beforeLines="10" w:afterLines="10" w:line="340" w:lineRule="exact"/>
      <w:ind w:left="0" w:firstLine="0" w:firstLineChars="0"/>
      <w:jc w:val="left"/>
    </w:pPr>
    <w:rPr>
      <w:rFonts w:ascii="Arial" w:hAnsi="Arial" w:cs="宋体"/>
      <w:kern w:val="0"/>
      <w:sz w:val="24"/>
      <w:szCs w:val="24"/>
      <w:lang w:val="en-US" w:eastAsia="zh-CN"/>
    </w:rPr>
  </w:style>
  <w:style w:type="paragraph" w:customStyle="1" w:styleId="342">
    <w:name w:val="xl29"/>
    <w:basedOn w:val="1"/>
    <w:qFormat/>
    <w:uiPriority w:val="0"/>
    <w:pPr>
      <w:widowControl/>
      <w:pBdr>
        <w:bottom w:val="single" w:color="auto" w:sz="8" w:space="0"/>
      </w:pBdr>
      <w:spacing w:before="100" w:beforeLines="0" w:beforeAutospacing="1" w:after="100" w:afterLines="0" w:afterAutospacing="1"/>
      <w:textAlignment w:val="top"/>
    </w:pPr>
    <w:rPr>
      <w:rFonts w:ascii="仿宋_GB2312" w:eastAsia="仿宋_GB2312"/>
      <w:kern w:val="0"/>
      <w:sz w:val="24"/>
    </w:rPr>
  </w:style>
  <w:style w:type="paragraph" w:customStyle="1" w:styleId="343">
    <w:name w:val="xl70"/>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top"/>
    </w:pPr>
    <w:rPr>
      <w:rFonts w:ascii="宋体" w:hAnsi="宋体" w:cs="宋体"/>
      <w:color w:val="FF0000"/>
      <w:kern w:val="0"/>
      <w:sz w:val="24"/>
    </w:rPr>
  </w:style>
  <w:style w:type="paragraph" w:customStyle="1" w:styleId="344">
    <w:name w:val="缺省文本"/>
    <w:basedOn w:val="1"/>
    <w:qFormat/>
    <w:uiPriority w:val="0"/>
    <w:pPr>
      <w:widowControl/>
      <w:autoSpaceDE w:val="0"/>
      <w:autoSpaceDN w:val="0"/>
      <w:adjustRightInd w:val="0"/>
      <w:ind w:firstLine="200" w:firstLineChars="200"/>
      <w:jc w:val="left"/>
    </w:pPr>
    <w:rPr>
      <w:rFonts w:cs="宋体"/>
      <w:kern w:val="0"/>
      <w:sz w:val="24"/>
    </w:rPr>
  </w:style>
  <w:style w:type="paragraph" w:customStyle="1" w:styleId="345">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346">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7">
    <w:name w:val="样式5"/>
    <w:basedOn w:val="3"/>
    <w:next w:val="1"/>
    <w:qFormat/>
    <w:uiPriority w:val="0"/>
    <w:pPr>
      <w:widowControl/>
      <w:spacing w:before="200" w:after="0" w:line="276" w:lineRule="auto"/>
      <w:ind w:left="420" w:hanging="420"/>
      <w:jc w:val="left"/>
    </w:pPr>
    <w:rPr>
      <w:rFonts w:ascii="宋体" w:hAnsi="宋体"/>
      <w:color w:val="4F81BD"/>
      <w:kern w:val="0"/>
      <w:sz w:val="26"/>
      <w:szCs w:val="26"/>
      <w:lang w:val="en-US" w:eastAsia="en-US" w:bidi="en-US"/>
    </w:rPr>
  </w:style>
  <w:style w:type="paragraph" w:customStyle="1" w:styleId="348">
    <w:name w:val="Alink正文"/>
    <w:basedOn w:val="1"/>
    <w:qFormat/>
    <w:uiPriority w:val="0"/>
    <w:pPr>
      <w:ind w:firstLine="420"/>
    </w:pPr>
  </w:style>
  <w:style w:type="paragraph" w:customStyle="1" w:styleId="349">
    <w:name w:val="抬头"/>
    <w:basedOn w:val="1"/>
    <w:qFormat/>
    <w:uiPriority w:val="0"/>
    <w:pPr>
      <w:spacing w:before="156" w:beforeLines="50" w:line="360" w:lineRule="auto"/>
    </w:pPr>
    <w:rPr>
      <w:rFonts w:ascii="宋体"/>
      <w:sz w:val="24"/>
    </w:rPr>
  </w:style>
  <w:style w:type="paragraph" w:customStyle="1" w:styleId="350">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351">
    <w:name w:val="第五级标题"/>
    <w:basedOn w:val="6"/>
    <w:next w:val="1"/>
    <w:qFormat/>
    <w:uiPriority w:val="99"/>
    <w:pPr>
      <w:numPr>
        <w:ilvl w:val="4"/>
        <w:numId w:val="3"/>
      </w:numPr>
      <w:adjustRightInd/>
      <w:spacing w:before="120" w:after="120" w:line="360" w:lineRule="auto"/>
      <w:textAlignment w:val="auto"/>
    </w:pPr>
    <w:rPr>
      <w:rFonts w:ascii="Calibri" w:hAnsi="Calibri"/>
      <w:bCs/>
      <w:color w:val="000000"/>
      <w:kern w:val="2"/>
      <w:sz w:val="24"/>
    </w:rPr>
  </w:style>
  <w:style w:type="paragraph" w:customStyle="1" w:styleId="352">
    <w:name w:val="列出段落5"/>
    <w:basedOn w:val="1"/>
    <w:qFormat/>
    <w:uiPriority w:val="0"/>
    <w:pPr>
      <w:ind w:firstLine="420" w:firstLineChars="200"/>
    </w:pPr>
    <w:rPr>
      <w:szCs w:val="20"/>
    </w:rPr>
  </w:style>
  <w:style w:type="paragraph" w:customStyle="1" w:styleId="353">
    <w:name w:val="样式4"/>
    <w:basedOn w:val="30"/>
    <w:next w:val="179"/>
    <w:qFormat/>
    <w:uiPriority w:val="0"/>
    <w:pPr>
      <w:widowControl/>
      <w:adjustRightInd/>
      <w:spacing w:before="200" w:after="0" w:line="360" w:lineRule="auto"/>
      <w:jc w:val="left"/>
      <w:textAlignment w:val="auto"/>
    </w:pPr>
    <w:rPr>
      <w:rFonts w:ascii="Cambria" w:hAnsi="Cambria"/>
      <w:b/>
      <w:color w:val="243F60"/>
      <w:kern w:val="2"/>
      <w:sz w:val="22"/>
      <w:szCs w:val="22"/>
      <w:lang w:eastAsia="en-US" w:bidi="en-US"/>
    </w:rPr>
  </w:style>
  <w:style w:type="paragraph" w:customStyle="1" w:styleId="354">
    <w:name w:val="列表（符号二级）（绿盟科技）"/>
    <w:basedOn w:val="195"/>
    <w:qFormat/>
    <w:uiPriority w:val="99"/>
    <w:pPr>
      <w:numPr>
        <w:ilvl w:val="1"/>
        <w:numId w:val="1"/>
      </w:numPr>
    </w:pPr>
    <w:rPr>
      <w:rFonts w:eastAsia="宋体"/>
    </w:rPr>
  </w:style>
  <w:style w:type="paragraph" w:customStyle="1" w:styleId="355">
    <w:name w:val="xl26"/>
    <w:basedOn w:val="1"/>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356">
    <w:name w:val="font6"/>
    <w:basedOn w:val="1"/>
    <w:qFormat/>
    <w:uiPriority w:val="0"/>
    <w:pPr>
      <w:widowControl/>
      <w:spacing w:before="100" w:beforeLines="0" w:beforeAutospacing="1" w:after="100" w:afterLines="0" w:afterAutospacing="1"/>
      <w:jc w:val="left"/>
    </w:pPr>
    <w:rPr>
      <w:rFonts w:ascii="宋体"/>
      <w:color w:val="0000FF"/>
      <w:kern w:val="0"/>
      <w:sz w:val="24"/>
      <w:u w:val="single"/>
    </w:rPr>
  </w:style>
  <w:style w:type="paragraph" w:customStyle="1" w:styleId="357">
    <w:name w:val="yj数字编号"/>
    <w:basedOn w:val="1"/>
    <w:qFormat/>
    <w:uiPriority w:val="99"/>
    <w:pPr>
      <w:tabs>
        <w:tab w:val="left" w:pos="780"/>
      </w:tabs>
      <w:spacing w:beforeLines="50"/>
      <w:ind w:left="780" w:right="210" w:rightChars="100" w:hanging="360"/>
    </w:pPr>
    <w:rPr>
      <w:b/>
      <w:sz w:val="24"/>
      <w:szCs w:val="44"/>
    </w:rPr>
  </w:style>
  <w:style w:type="paragraph" w:customStyle="1" w:styleId="358">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359">
    <w:name w:val="TOC 标题1"/>
    <w:basedOn w:val="2"/>
    <w:next w:val="1"/>
    <w:qFormat/>
    <w:uiPriority w:val="39"/>
    <w:pPr>
      <w:keepLines/>
      <w:widowControl/>
      <w:autoSpaceDE/>
      <w:autoSpaceDN/>
      <w:adjustRightInd/>
      <w:spacing w:before="480" w:line="276" w:lineRule="auto"/>
      <w:outlineLvl w:val="9"/>
    </w:pPr>
    <w:rPr>
      <w:rFonts w:ascii="Cambria" w:hAnsi="Cambria" w:eastAsia="宋体"/>
      <w:color w:val="auto"/>
      <w:szCs w:val="28"/>
      <w:lang w:eastAsia="en-US" w:bidi="en-US"/>
    </w:rPr>
  </w:style>
  <w:style w:type="paragraph" w:customStyle="1" w:styleId="360">
    <w:name w:val="xl6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kern w:val="0"/>
      <w:sz w:val="20"/>
      <w:szCs w:val="20"/>
    </w:rPr>
  </w:style>
  <w:style w:type="paragraph" w:customStyle="1" w:styleId="361">
    <w:name w:val="xl35"/>
    <w:basedOn w:val="1"/>
    <w:qFormat/>
    <w:uiPriority w:val="0"/>
    <w:pPr>
      <w:widowControl/>
      <w:pBdr>
        <w:left w:val="single" w:color="auto" w:sz="8" w:space="0"/>
        <w:bottom w:val="single" w:color="000000"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362">
    <w:name w:val="引用1"/>
    <w:basedOn w:val="1"/>
    <w:next w:val="1"/>
    <w:qFormat/>
    <w:uiPriority w:val="0"/>
    <w:pPr>
      <w:spacing w:line="300" w:lineRule="auto"/>
    </w:pPr>
    <w:rPr>
      <w:rFonts w:ascii="宋体" w:hAnsi="宋体"/>
      <w:i/>
      <w:iCs/>
      <w:color w:val="000000"/>
    </w:rPr>
  </w:style>
  <w:style w:type="paragraph" w:customStyle="1" w:styleId="363">
    <w:name w:val="xl30"/>
    <w:basedOn w:val="1"/>
    <w:qFormat/>
    <w:uiPriority w:val="0"/>
    <w:pPr>
      <w:widowControl/>
      <w:pBdr>
        <w:bottom w:val="single" w:color="auto" w:sz="8" w:space="0"/>
      </w:pBdr>
      <w:spacing w:before="100" w:beforeLines="0" w:beforeAutospacing="1" w:after="100" w:afterLines="0" w:afterAutospacing="1"/>
      <w:jc w:val="left"/>
    </w:pPr>
    <w:rPr>
      <w:rFonts w:ascii="仿宋_GB2312" w:eastAsia="仿宋_GB2312"/>
      <w:kern w:val="0"/>
      <w:sz w:val="24"/>
    </w:rPr>
  </w:style>
  <w:style w:type="paragraph" w:customStyle="1" w:styleId="364">
    <w:name w:val="样式 仿宋_GB2312 小三 行距: 1.5 倍行距2"/>
    <w:basedOn w:val="1"/>
    <w:qFormat/>
    <w:uiPriority w:val="0"/>
    <w:pPr>
      <w:widowControl w:val="0"/>
      <w:tabs>
        <w:tab w:val="left" w:pos="594"/>
      </w:tabs>
      <w:spacing w:line="560" w:lineRule="exact"/>
      <w:ind w:firstLine="600"/>
      <w:jc w:val="both"/>
    </w:pPr>
    <w:rPr>
      <w:rFonts w:ascii="仿宋_GB2312" w:hAnsi="仿宋_GB2312" w:eastAsia="仿宋_GB2312" w:cs="宋体"/>
      <w:kern w:val="2"/>
      <w:sz w:val="30"/>
      <w:szCs w:val="30"/>
    </w:rPr>
  </w:style>
  <w:style w:type="paragraph" w:customStyle="1" w:styleId="365">
    <w:name w:val="yj标题4"/>
    <w:basedOn w:val="1"/>
    <w:qFormat/>
    <w:uiPriority w:val="99"/>
    <w:pPr>
      <w:numPr>
        <w:ilvl w:val="3"/>
        <w:numId w:val="2"/>
      </w:numPr>
      <w:outlineLvl w:val="3"/>
    </w:pPr>
    <w:rPr>
      <w:b/>
      <w:sz w:val="24"/>
    </w:rPr>
  </w:style>
  <w:style w:type="paragraph" w:customStyle="1" w:styleId="366">
    <w:name w:val="WPSOffice手动目录 1"/>
    <w:qFormat/>
    <w:uiPriority w:val="0"/>
    <w:rPr>
      <w:rFonts w:ascii="Times New Roman" w:hAnsi="Times New Roman" w:eastAsia="宋体" w:cs="Times New Roman"/>
      <w:lang w:val="en-US" w:eastAsia="zh-CN" w:bidi="ar-SA"/>
    </w:rPr>
  </w:style>
  <w:style w:type="paragraph" w:customStyle="1" w:styleId="367">
    <w:name w:val="xl23"/>
    <w:next w:val="286"/>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368">
    <w:name w:val="xl7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cs="宋体"/>
      <w:color w:val="00B0F0"/>
      <w:kern w:val="0"/>
      <w:sz w:val="24"/>
    </w:rPr>
  </w:style>
  <w:style w:type="paragraph" w:customStyle="1" w:styleId="369">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kern w:val="0"/>
      <w:sz w:val="20"/>
      <w:szCs w:val="20"/>
    </w:rPr>
  </w:style>
  <w:style w:type="paragraph" w:customStyle="1" w:styleId="370">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371">
    <w:name w:val="xl67"/>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top"/>
    </w:pPr>
    <w:rPr>
      <w:rFonts w:ascii="宋体" w:hAnsi="宋体" w:cs="宋体"/>
      <w:kern w:val="0"/>
      <w:sz w:val="24"/>
    </w:rPr>
  </w:style>
  <w:style w:type="paragraph" w:customStyle="1" w:styleId="372">
    <w:name w:val="二级条标题"/>
    <w:basedOn w:val="310"/>
    <w:next w:val="230"/>
    <w:qFormat/>
    <w:uiPriority w:val="0"/>
    <w:pPr>
      <w:numPr>
        <w:ilvl w:val="3"/>
        <w:numId w:val="6"/>
      </w:numPr>
      <w:outlineLvl w:val="3"/>
    </w:pPr>
  </w:style>
  <w:style w:type="paragraph" w:customStyle="1" w:styleId="373">
    <w:name w:val="xl69"/>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color w:val="FF0000"/>
      <w:kern w:val="0"/>
      <w:sz w:val="24"/>
    </w:rPr>
  </w:style>
  <w:style w:type="paragraph" w:customStyle="1" w:styleId="374">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Lines="0" w:beforeAutospacing="1" w:after="100" w:afterLines="0" w:afterAutospacing="1"/>
      <w:textAlignment w:val="center"/>
    </w:pPr>
    <w:rPr>
      <w:kern w:val="0"/>
      <w:sz w:val="20"/>
      <w:szCs w:val="20"/>
    </w:rPr>
  </w:style>
  <w:style w:type="paragraph" w:customStyle="1" w:styleId="375">
    <w:name w:val="xl83"/>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left"/>
    </w:pPr>
    <w:rPr>
      <w:rFonts w:ascii="宋体" w:hAnsi="宋体" w:cs="宋体"/>
      <w:color w:val="FF0000"/>
      <w:kern w:val="0"/>
      <w:sz w:val="24"/>
    </w:rPr>
  </w:style>
  <w:style w:type="paragraph" w:customStyle="1" w:styleId="376">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Lines="0" w:beforeAutospacing="1" w:after="100" w:afterLines="0" w:afterAutospacing="1"/>
      <w:textAlignment w:val="center"/>
    </w:pPr>
    <w:rPr>
      <w:rFonts w:ascii="宋体"/>
      <w:kern w:val="0"/>
      <w:sz w:val="20"/>
      <w:szCs w:val="20"/>
    </w:rPr>
  </w:style>
  <w:style w:type="paragraph" w:customStyle="1" w:styleId="377">
    <w:name w:val="样式 标题 2 + 行距: 1.5 倍行距"/>
    <w:basedOn w:val="3"/>
    <w:qFormat/>
    <w:uiPriority w:val="0"/>
    <w:pPr>
      <w:tabs>
        <w:tab w:val="left" w:pos="357"/>
      </w:tabs>
      <w:spacing w:before="260" w:after="260"/>
      <w:jc w:val="both"/>
    </w:pPr>
    <w:rPr>
      <w:rFonts w:cs="宋体"/>
      <w:sz w:val="32"/>
      <w:szCs w:val="20"/>
      <w:lang w:val="en-US" w:eastAsia="zh-CN"/>
    </w:rPr>
  </w:style>
  <w:style w:type="paragraph" w:customStyle="1" w:styleId="378">
    <w:name w:val="xl74"/>
    <w:basedOn w:val="1"/>
    <w:qFormat/>
    <w:uiPriority w:val="0"/>
    <w:pPr>
      <w:widowControl/>
      <w:pBdr>
        <w:bottom w:val="single" w:color="000000" w:sz="8" w:space="0"/>
        <w:right w:val="single" w:color="000000" w:sz="8" w:space="0"/>
      </w:pBdr>
      <w:spacing w:before="100" w:beforeAutospacing="1" w:after="100" w:afterAutospacing="1"/>
      <w:jc w:val="center"/>
      <w:textAlignment w:val="top"/>
    </w:pPr>
    <w:rPr>
      <w:rFonts w:ascii="宋体" w:hAnsi="宋体" w:cs="宋体"/>
      <w:color w:val="00B0F0"/>
      <w:kern w:val="0"/>
      <w:sz w:val="24"/>
    </w:rPr>
  </w:style>
  <w:style w:type="paragraph" w:customStyle="1" w:styleId="379">
    <w:name w:val="封面标准代替信息"/>
    <w:basedOn w:val="1"/>
    <w:qFormat/>
    <w:uiPriority w:val="0"/>
    <w:pPr>
      <w:framePr w:w="9138" w:h="1244" w:hRule="exact" w:wrap="around" w:vAnchor="page" w:hAnchor="margin" w:y="2908" w:anchorLock="1"/>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380">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1">
    <w:name w:val="修订1"/>
    <w:semiHidden/>
    <w:qFormat/>
    <w:uiPriority w:val="99"/>
    <w:rPr>
      <w:rFonts w:ascii="宋体" w:hAnsi="宋体" w:eastAsia="宋体" w:cs="宋体"/>
      <w:sz w:val="24"/>
      <w:szCs w:val="24"/>
      <w:lang w:val="en-US" w:eastAsia="zh-CN" w:bidi="ar-SA"/>
    </w:rPr>
  </w:style>
  <w:style w:type="paragraph" w:customStyle="1" w:styleId="38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0"/>
      <w:szCs w:val="20"/>
    </w:rPr>
  </w:style>
  <w:style w:type="paragraph" w:customStyle="1" w:styleId="383">
    <w:name w:val="xl34"/>
    <w:basedOn w:val="1"/>
    <w:qFormat/>
    <w:uiPriority w:val="0"/>
    <w:pPr>
      <w:widowControl/>
      <w:pBdr>
        <w:top w:val="single" w:color="auto" w:sz="8" w:space="0"/>
        <w:left w:val="single" w:color="auto" w:sz="8" w:space="0"/>
        <w:right w:val="single" w:color="auto" w:sz="8" w:space="0"/>
      </w:pBdr>
      <w:spacing w:before="100" w:beforeLines="0" w:beforeAutospacing="1" w:after="100" w:afterLines="0" w:afterAutospacing="1"/>
      <w:jc w:val="center"/>
      <w:textAlignment w:val="center"/>
    </w:pPr>
    <w:rPr>
      <w:rFonts w:ascii="仿宋_GB2312" w:eastAsia="仿宋_GB2312"/>
      <w:kern w:val="0"/>
      <w:sz w:val="24"/>
    </w:rPr>
  </w:style>
  <w:style w:type="paragraph" w:customStyle="1" w:styleId="384">
    <w:name w:val="code"/>
    <w:basedOn w:val="1"/>
    <w:qFormat/>
    <w:uiPriority w:val="0"/>
    <w:pPr>
      <w:widowControl/>
      <w:shd w:val="clear" w:color="auto" w:fill="E6E6E6"/>
      <w:spacing w:before="60" w:after="60"/>
      <w:jc w:val="left"/>
    </w:pPr>
    <w:rPr>
      <w:rFonts w:ascii="Courier New" w:hAnsi="Courier New" w:cs="Courier New"/>
      <w:spacing w:val="10"/>
      <w:kern w:val="0"/>
      <w:sz w:val="18"/>
      <w:szCs w:val="21"/>
    </w:rPr>
  </w:style>
  <w:style w:type="paragraph" w:customStyle="1" w:styleId="385">
    <w:name w:val="font5"/>
    <w:basedOn w:val="1"/>
    <w:qFormat/>
    <w:uiPriority w:val="0"/>
    <w:pPr>
      <w:widowControl/>
      <w:spacing w:before="100" w:beforeLines="0" w:beforeAutospacing="1" w:after="100" w:afterLines="0" w:afterAutospacing="1"/>
      <w:jc w:val="left"/>
    </w:pPr>
    <w:rPr>
      <w:rFonts w:ascii="宋体"/>
      <w:kern w:val="0"/>
      <w:sz w:val="18"/>
      <w:szCs w:val="18"/>
    </w:rPr>
  </w:style>
  <w:style w:type="paragraph" w:customStyle="1" w:styleId="386">
    <w:name w:val="Normal0"/>
    <w:qFormat/>
    <w:uiPriority w:val="0"/>
    <w:rPr>
      <w:rFonts w:ascii="Times New Roman" w:hAnsi="Times New Roman" w:eastAsia="宋体" w:cs="Times New Roman"/>
      <w:lang w:val="en-US" w:eastAsia="en-US" w:bidi="ar-SA"/>
    </w:rPr>
  </w:style>
  <w:style w:type="paragraph" w:customStyle="1" w:styleId="387">
    <w:name w:val="样式 标题 1 + 行距: 1.5 倍行距"/>
    <w:basedOn w:val="2"/>
    <w:qFormat/>
    <w:uiPriority w:val="0"/>
    <w:pPr>
      <w:keepLines/>
      <w:tabs>
        <w:tab w:val="left" w:pos="357"/>
      </w:tabs>
      <w:autoSpaceDE/>
      <w:autoSpaceDN/>
      <w:adjustRightInd/>
      <w:spacing w:before="340" w:after="330" w:line="360" w:lineRule="auto"/>
      <w:jc w:val="both"/>
    </w:pPr>
    <w:rPr>
      <w:rFonts w:ascii="Calibri" w:hAnsi="Calibri" w:eastAsia="宋体" w:cs="宋体"/>
      <w:color w:val="auto"/>
      <w:kern w:val="44"/>
      <w:sz w:val="36"/>
    </w:rPr>
  </w:style>
  <w:style w:type="paragraph" w:customStyle="1" w:styleId="388">
    <w:name w:val="Normal_0"/>
    <w:qFormat/>
    <w:uiPriority w:val="0"/>
    <w:pPr>
      <w:widowControl w:val="0"/>
      <w:jc w:val="both"/>
    </w:pPr>
    <w:rPr>
      <w:rFonts w:ascii="Calibri" w:hAnsi="Calibri" w:eastAsia="宋体" w:cs="Times New Roman"/>
      <w:szCs w:val="22"/>
      <w:lang w:val="en-US" w:eastAsia="zh-CN" w:bidi="ar-SA"/>
    </w:rPr>
  </w:style>
  <w:style w:type="paragraph" w:customStyle="1" w:styleId="389">
    <w:name w:val="列出段落3"/>
    <w:basedOn w:val="1"/>
    <w:qFormat/>
    <w:uiPriority w:val="34"/>
    <w:pPr>
      <w:ind w:firstLine="420" w:firstLineChars="200"/>
    </w:pPr>
    <w:rPr>
      <w:rFonts w:ascii="Calibri" w:hAnsi="Calibri" w:eastAsia="宋体" w:cs="Times New Roman"/>
      <w:szCs w:val="22"/>
    </w:rPr>
  </w:style>
  <w:style w:type="paragraph" w:customStyle="1" w:styleId="390">
    <w:name w:val="xl68"/>
    <w:basedOn w:val="1"/>
    <w:qFormat/>
    <w:uiPriority w:val="0"/>
    <w:pPr>
      <w:widowControl/>
      <w:pBdr>
        <w:left w:val="single" w:color="000000" w:sz="8" w:space="0"/>
        <w:bottom w:val="single" w:color="000000" w:sz="8" w:space="0"/>
        <w:right w:val="single" w:color="000000" w:sz="8" w:space="0"/>
      </w:pBdr>
      <w:shd w:val="clear" w:color="000000" w:fill="FFFF00"/>
      <w:spacing w:before="100" w:beforeAutospacing="1" w:after="100" w:afterAutospacing="1"/>
      <w:jc w:val="left"/>
      <w:textAlignment w:val="top"/>
    </w:pPr>
    <w:rPr>
      <w:rFonts w:ascii="宋体" w:hAnsi="宋体" w:cs="宋体"/>
      <w:color w:val="FF0000"/>
      <w:kern w:val="0"/>
      <w:sz w:val="24"/>
    </w:rPr>
  </w:style>
  <w:style w:type="paragraph" w:customStyle="1" w:styleId="391">
    <w:name w:val="xl64"/>
    <w:basedOn w:val="1"/>
    <w:qFormat/>
    <w:uiPriority w:val="0"/>
    <w:pPr>
      <w:widowControl/>
      <w:pBdr>
        <w:top w:val="single" w:color="auto" w:sz="4" w:space="0"/>
        <w:left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kern w:val="0"/>
      <w:sz w:val="20"/>
      <w:szCs w:val="20"/>
    </w:rPr>
  </w:style>
  <w:style w:type="paragraph" w:customStyle="1" w:styleId="392">
    <w:name w:val="yj标题3"/>
    <w:basedOn w:val="1"/>
    <w:qFormat/>
    <w:uiPriority w:val="99"/>
    <w:pPr>
      <w:numPr>
        <w:ilvl w:val="2"/>
        <w:numId w:val="2"/>
      </w:numPr>
      <w:tabs>
        <w:tab w:val="left" w:pos="3780"/>
      </w:tabs>
      <w:outlineLvl w:val="2"/>
    </w:pPr>
    <w:rPr>
      <w:b/>
    </w:rPr>
  </w:style>
  <w:style w:type="paragraph" w:customStyle="1" w:styleId="393">
    <w:name w:val="数字编号列项（二级）"/>
    <w:qFormat/>
    <w:uiPriority w:val="0"/>
    <w:pPr>
      <w:numPr>
        <w:ilvl w:val="5"/>
        <w:numId w:val="7"/>
      </w:numPr>
      <w:jc w:val="both"/>
    </w:pPr>
    <w:rPr>
      <w:rFonts w:ascii="宋体" w:hAnsi="Times New Roman" w:eastAsia="宋体" w:cs="Times New Roman"/>
      <w:sz w:val="21"/>
      <w:lang w:val="en-US" w:eastAsia="zh-CN" w:bidi="ar-SA"/>
    </w:rPr>
  </w:style>
  <w:style w:type="character" w:customStyle="1" w:styleId="394">
    <w:name w:val="font21"/>
    <w:qFormat/>
    <w:uiPriority w:val="0"/>
    <w:rPr>
      <w:rFonts w:hint="eastAsia" w:ascii="宋体" w:hAnsi="宋体" w:eastAsia="宋体" w:cs="宋体"/>
      <w:b/>
      <w:bCs/>
      <w:color w:val="000000"/>
      <w:sz w:val="20"/>
      <w:szCs w:val="20"/>
      <w:u w:val="none"/>
    </w:rPr>
  </w:style>
  <w:style w:type="character" w:customStyle="1" w:styleId="395">
    <w:name w:val="font71"/>
    <w:qFormat/>
    <w:uiPriority w:val="0"/>
    <w:rPr>
      <w:rFonts w:hint="default" w:ascii="Arial" w:hAnsi="Arial" w:cs="Arial"/>
      <w:b/>
      <w:bCs/>
      <w:color w:val="000000"/>
      <w:sz w:val="20"/>
      <w:szCs w:val="20"/>
      <w:u w:val="none"/>
    </w:rPr>
  </w:style>
  <w:style w:type="character" w:customStyle="1" w:styleId="396">
    <w:name w:val="正文文本 字符1"/>
    <w:qFormat/>
    <w:locked/>
    <w:uiPriority w:val="0"/>
    <w:rPr>
      <w:rFonts w:ascii="Times New Roman" w:hAnsi="Times New Roman" w:cs="Times New Roman"/>
      <w:sz w:val="24"/>
      <w:szCs w:val="24"/>
    </w:rPr>
  </w:style>
  <w:style w:type="character" w:customStyle="1" w:styleId="397">
    <w:name w:val="批注文字 字符1"/>
    <w:qFormat/>
    <w:locked/>
    <w:uiPriority w:val="0"/>
    <w:rPr>
      <w:rFonts w:ascii="Times New Roman" w:hAnsi="Times New Roman" w:cs="Times New Roman"/>
      <w:sz w:val="24"/>
      <w:szCs w:val="24"/>
    </w:rPr>
  </w:style>
  <w:style w:type="paragraph" w:customStyle="1" w:styleId="398">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399">
    <w:name w:val="phone"/>
    <w:qFormat/>
    <w:uiPriority w:val="0"/>
    <w:rPr>
      <w:b/>
      <w:bCs/>
      <w:color w:val="C20000"/>
      <w:sz w:val="34"/>
      <w:szCs w:val="34"/>
    </w:rPr>
  </w:style>
  <w:style w:type="character" w:customStyle="1" w:styleId="400">
    <w:name w:val="bsharetext"/>
    <w:qFormat/>
    <w:uiPriority w:val="0"/>
  </w:style>
  <w:style w:type="character" w:customStyle="1" w:styleId="401">
    <w:name w:val="NormalCharacter"/>
    <w:qFormat/>
    <w:uiPriority w:val="0"/>
    <w:rPr>
      <w:kern w:val="2"/>
      <w:sz w:val="21"/>
      <w:szCs w:val="24"/>
      <w:lang w:val="en-US" w:eastAsia="zh-CN" w:bidi="ar-SA"/>
    </w:rPr>
  </w:style>
  <w:style w:type="paragraph" w:customStyle="1" w:styleId="40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ompany>
  <Pages>52</Pages>
  <Words>4915</Words>
  <Characters>5311</Characters>
  <Lines>166</Lines>
  <Paragraphs>46</Paragraphs>
  <TotalTime>17</TotalTime>
  <ScaleCrop>false</ScaleCrop>
  <LinksUpToDate>false</LinksUpToDate>
  <CharactersWithSpaces>5485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2021-09-30T09:52:00Z</dcterms:created>
  <dc:creator>z</dc:creator>
  <cp:lastModifiedBy>囡囡</cp:lastModifiedBy>
  <cp:lastPrinted>2025-09-30T11:28:00Z</cp:lastPrinted>
  <dcterms:modified xsi:type="dcterms:W3CDTF">2026-04-15T07:49:44Z</dcterms:modified>
  <dc:title>询价书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0F1DDCC9D5A24593B38FFBAD38D6DBDE_13</vt:lpwstr>
  </property>
  <property fmtid="{D5CDD505-2E9C-101B-9397-08002B2CF9AE}" pid="4" name="KSOTemplateDocerSaveRecord">
    <vt:lpwstr>eyJoZGlkIjoiYjg2ZDhiMmEzNmI4M2M2OTczNTMxMTZmNmJkMjk2OTIiLCJ1c2VySWQiOiIzODA4Mjc3MjAifQ==</vt:lpwstr>
  </property>
</Properties>
</file>