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《兴业银行昆明分行关于2025</w:t>
      </w:r>
      <w:r>
        <w:rPr>
          <w:rFonts w:hint="eastAsia" w:ascii="宋体" w:hAnsi="宋体" w:cs="宋体"/>
          <w:b/>
          <w:sz w:val="44"/>
          <w:szCs w:val="44"/>
          <w:lang w:val="en-US" w:eastAsia="zh-CN"/>
        </w:rPr>
        <w:t>-2026</w:t>
      </w:r>
      <w:r>
        <w:rPr>
          <w:rFonts w:hint="eastAsia" w:ascii="宋体" w:hAnsi="宋体" w:eastAsia="宋体" w:cs="宋体"/>
          <w:b/>
          <w:sz w:val="44"/>
          <w:szCs w:val="44"/>
          <w:lang w:val="en-US" w:eastAsia="zh-CN"/>
        </w:rPr>
        <w:t>年运营商线路通信费采购项目》供应商征集反馈材料-公司名称（全称）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249"/>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1.2技术要求</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1.3服务要求</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1.4供应商资质要求</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lang w:eastAsia="zh-CN"/>
              </w:rPr>
            </w:pPr>
            <w:bookmarkStart w:id="0" w:name="_GoBack" w:colFirst="0" w:colLast="0"/>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7"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73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1955C07"/>
    <w:rsid w:val="0DED7F9F"/>
    <w:rsid w:val="13DD0D7A"/>
    <w:rsid w:val="365B1D40"/>
    <w:rsid w:val="503B1E49"/>
    <w:rsid w:val="593A7C5E"/>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1713</Words>
  <Characters>1792</Characters>
  <Lines>0</Lines>
  <Paragraphs>0</Paragraphs>
  <TotalTime>1</TotalTime>
  <ScaleCrop>false</ScaleCrop>
  <LinksUpToDate>false</LinksUpToDate>
  <CharactersWithSpaces>1805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2025-02-28T06:35:51Z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263C808F269948DEB0A6250A9A14E16B_12</vt:lpwstr>
  </property>
</Properties>
</file>