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《兴业银行股份有限公司昆明分行工会法定节日慰问品采购项目》供应商征集反馈材料-公司名称（全称）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 xml:space="preserve">2 </w:t>
            </w:r>
            <w:r>
              <w:rPr>
                <w:rFonts w:hint="eastAsia" w:ascii="仿宋" w:hAnsi="仿宋" w:eastAsia="仿宋" w:cs="仿宋"/>
                <w:b/>
                <w:bCs/>
                <w:sz w:val="28"/>
                <w:szCs w:val="28"/>
              </w:rPr>
              <w:t>服务要求</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bookmarkStart w:id="1" w:name="_GoBack" w:colFirst="0" w:colLast="2"/>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bookmarkEnd w:id="1"/>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A7DC6818-9666-4A1F-8FEE-3EE1B9060172}"/>
  </w:font>
  <w:font w:name="仿宋">
    <w:panose1 w:val="02010609060101010101"/>
    <w:charset w:val="86"/>
    <w:family w:val="modern"/>
    <w:pitch w:val="default"/>
    <w:sig w:usb0="800002BF" w:usb1="38CF7CFA" w:usb2="00000016" w:usb3="00000000" w:csb0="00040001" w:csb1="00000000"/>
    <w:embedRegular r:id="rId2" w:fontKey="{B61177B8-A0EE-493B-8969-7536DFF6937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210B657F"/>
    <w:rsid w:val="27146BB8"/>
    <w:rsid w:val="3FB90D14"/>
    <w:rsid w:val="4A454C3E"/>
    <w:rsid w:val="5F570186"/>
    <w:rsid w:val="61E47FF3"/>
    <w:rsid w:val="69295A8E"/>
    <w:rsid w:val="69EE758C"/>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1693</Words>
  <Characters>1761</Characters>
  <Lines>0</Lines>
  <Paragraphs>0</Paragraphs>
  <TotalTime>1</TotalTime>
  <ScaleCrop>false</ScaleCrop>
  <LinksUpToDate>false</LinksUpToDate>
  <CharactersWithSpaces>1781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2024-11-07T14:42:41Z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