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outlineLvl w:val="0"/>
        <w:rPr>
          <w:rFonts w:hint="eastAsia" w:ascii="黑体" w:hAnsi="黑体" w:eastAsia="黑体" w:cs="黑体"/>
          <w:sz w:val="32"/>
          <w:szCs w:val="32"/>
          <w:lang w:val="en-US" w:eastAsia="zh-CN"/>
        </w:rPr>
      </w:pPr>
      <w:bookmarkStart w:id="0" w:name="_Toc7457"/>
      <w:r>
        <w:rPr>
          <w:rFonts w:hint="eastAsia" w:ascii="黑体" w:hAnsi="黑体" w:eastAsia="黑体" w:cs="黑体"/>
          <w:sz w:val="32"/>
          <w:szCs w:val="32"/>
          <w:lang w:val="en-US" w:eastAsia="zh-CN"/>
        </w:rPr>
        <w:t>附件</w:t>
      </w:r>
      <w:bookmarkEnd w:id="0"/>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rPr>
          <w:rFonts w:hint="eastAsia" w:ascii="方正小标宋简体" w:hAnsi="方正小标宋简体" w:eastAsia="方正小标宋简体" w:cs="方正小标宋简体"/>
          <w:b/>
          <w:bCs/>
          <w:sz w:val="28"/>
          <w:szCs w:val="28"/>
        </w:rPr>
      </w:pPr>
      <w:r>
        <w:rPr>
          <w:rFonts w:hint="eastAsia" w:ascii="方正小标宋简体" w:hAnsi="方正小标宋简体" w:eastAsia="方正小标宋简体" w:cs="方正小标宋简体"/>
          <w:b/>
          <w:bCs/>
          <w:sz w:val="44"/>
          <w:szCs w:val="44"/>
        </w:rPr>
        <w:t>《兴业银行关于云南牛牛牧业股份有限公司押品（活牛）保险购买项目》供应商征集反馈材料-公司名称（全称）</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第一部分 项目要求应答部分</w:t>
      </w:r>
    </w:p>
    <w:p>
      <w:pPr>
        <w:outlineLvl w:val="0"/>
        <w:rPr>
          <w:rFonts w:hint="eastAsia" w:ascii="仿宋" w:hAnsi="仿宋" w:eastAsia="仿宋" w:cs="仿宋"/>
          <w:b/>
          <w:bCs/>
          <w:color w:val="auto"/>
          <w:sz w:val="28"/>
          <w:szCs w:val="28"/>
        </w:rPr>
      </w:pPr>
      <w:r>
        <w:rPr>
          <w:rFonts w:hint="eastAsia" w:ascii="仿宋" w:hAnsi="仿宋" w:eastAsia="仿宋" w:cs="仿宋"/>
          <w:b/>
          <w:bCs/>
          <w:color w:val="auto"/>
          <w:sz w:val="28"/>
          <w:szCs w:val="28"/>
        </w:rPr>
        <w:t>（请</w:t>
      </w:r>
      <w:r>
        <w:rPr>
          <w:rFonts w:hint="eastAsia" w:ascii="仿宋" w:hAnsi="仿宋" w:eastAsia="仿宋" w:cs="仿宋"/>
          <w:b/>
          <w:bCs/>
          <w:color w:val="auto"/>
          <w:sz w:val="28"/>
          <w:szCs w:val="28"/>
          <w:lang w:val="en-US" w:eastAsia="zh-CN"/>
        </w:rPr>
        <w:t>按</w:t>
      </w:r>
      <w:r>
        <w:rPr>
          <w:rFonts w:hint="eastAsia" w:ascii="仿宋" w:hAnsi="仿宋" w:eastAsia="仿宋" w:cs="仿宋"/>
          <w:b/>
          <w:bCs/>
          <w:color w:val="auto"/>
          <w:sz w:val="28"/>
          <w:szCs w:val="28"/>
        </w:rPr>
        <w:t>征集公告文档中</w:t>
      </w:r>
      <w:r>
        <w:rPr>
          <w:rFonts w:hint="eastAsia" w:ascii="仿宋" w:hAnsi="仿宋" w:eastAsia="仿宋" w:cs="仿宋"/>
          <w:b/>
          <w:bCs/>
          <w:color w:val="auto"/>
          <w:sz w:val="28"/>
          <w:szCs w:val="28"/>
          <w:lang w:val="en-US" w:eastAsia="zh-CN"/>
        </w:rPr>
        <w:t>“一、采购需求及资格要求”、“二、报名要求”</w:t>
      </w:r>
      <w:r>
        <w:rPr>
          <w:rFonts w:hint="eastAsia" w:ascii="仿宋" w:hAnsi="仿宋" w:eastAsia="仿宋" w:cs="仿宋"/>
          <w:b/>
          <w:bCs/>
          <w:color w:val="auto"/>
          <w:sz w:val="28"/>
          <w:szCs w:val="28"/>
        </w:rPr>
        <w:t>要求一一对应</w:t>
      </w:r>
      <w:r>
        <w:rPr>
          <w:rFonts w:hint="eastAsia" w:ascii="仿宋" w:hAnsi="仿宋" w:eastAsia="仿宋" w:cs="仿宋"/>
          <w:b/>
          <w:bCs/>
          <w:color w:val="auto"/>
          <w:sz w:val="28"/>
          <w:szCs w:val="28"/>
          <w:lang w:val="en-US" w:eastAsia="zh-CN"/>
        </w:rPr>
        <w:t>填报</w:t>
      </w:r>
      <w:r>
        <w:rPr>
          <w:rFonts w:hint="eastAsia" w:ascii="仿宋" w:hAnsi="仿宋" w:eastAsia="仿宋" w:cs="仿宋"/>
          <w:b/>
          <w:bCs/>
          <w:color w:val="auto"/>
          <w:sz w:val="28"/>
          <w:szCs w:val="28"/>
        </w:rPr>
        <w:t>。“是否满足”和“基本情况说明”列由供应商填报。）</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2113"/>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审核事项</w:t>
            </w:r>
          </w:p>
        </w:tc>
        <w:tc>
          <w:tcPr>
            <w:tcW w:w="1240"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是否满足（是/否）</w:t>
            </w:r>
          </w:p>
        </w:tc>
        <w:tc>
          <w:tcPr>
            <w:tcW w:w="2530"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jc w:val="left"/>
              <w:rPr>
                <w:rFonts w:hint="eastAsia" w:ascii="仿宋" w:hAnsi="仿宋" w:eastAsia="仿宋" w:cs="仿宋"/>
                <w:b/>
                <w:bCs/>
                <w:sz w:val="28"/>
                <w:szCs w:val="28"/>
              </w:rPr>
            </w:pPr>
            <w:r>
              <w:rPr>
                <w:rFonts w:hint="eastAsia" w:ascii="仿宋" w:hAnsi="仿宋" w:eastAsia="仿宋" w:cs="仿宋"/>
                <w:b/>
                <w:bCs/>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1.1</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1.1.1</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lang w:val="en-US" w:eastAsia="zh-CN"/>
              </w:rPr>
              <w:t>1.1.2</w:t>
            </w:r>
          </w:p>
        </w:tc>
        <w:tc>
          <w:tcPr>
            <w:tcW w:w="1240" w:type="pct"/>
            <w:vAlign w:val="center"/>
          </w:tcPr>
          <w:p>
            <w:pPr>
              <w:ind w:firstLine="560" w:firstLineChars="200"/>
              <w:rPr>
                <w:rFonts w:hint="eastAsia" w:ascii="仿宋" w:hAnsi="仿宋" w:eastAsia="仿宋" w:cs="仿宋"/>
                <w:sz w:val="28"/>
                <w:szCs w:val="28"/>
              </w:rPr>
            </w:pPr>
          </w:p>
        </w:tc>
        <w:tc>
          <w:tcPr>
            <w:tcW w:w="2530" w:type="pct"/>
            <w:vAlign w:val="center"/>
          </w:tcPr>
          <w:p>
            <w:pPr>
              <w:ind w:firstLine="560" w:firstLineChars="20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29" w:type="pct"/>
            <w:vAlign w:val="center"/>
          </w:tcPr>
          <w:p>
            <w:pPr>
              <w:ind w:left="0" w:leftChars="0" w:firstLine="0" w:firstLineChars="0"/>
              <w:rPr>
                <w:rFonts w:hint="eastAsia" w:ascii="仿宋" w:hAnsi="仿宋" w:eastAsia="仿宋" w:cs="仿宋"/>
                <w:b/>
                <w:bCs/>
                <w:sz w:val="28"/>
                <w:szCs w:val="28"/>
                <w:lang w:eastAsia="zh-CN"/>
              </w:rPr>
            </w:pPr>
            <w:r>
              <w:rPr>
                <w:rFonts w:hint="eastAsia" w:ascii="仿宋" w:hAnsi="仿宋" w:eastAsia="仿宋" w:cs="仿宋"/>
                <w:b/>
                <w:bCs/>
                <w:sz w:val="28"/>
                <w:szCs w:val="28"/>
              </w:rPr>
              <w:t>1.</w:t>
            </w: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w:t>
            </w:r>
            <w:r>
              <w:rPr>
                <w:rFonts w:hint="eastAsia" w:ascii="仿宋" w:hAnsi="仿宋" w:eastAsia="仿宋" w:cs="仿宋"/>
                <w:b/>
                <w:bCs/>
                <w:sz w:val="28"/>
                <w:szCs w:val="28"/>
                <w:lang w:val="en-US" w:eastAsia="zh-CN"/>
              </w:rPr>
              <w:t>3</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ind w:left="0" w:leftChars="0" w:firstLine="0" w:firstLineChars="0"/>
              <w:rPr>
                <w:rFonts w:hint="eastAsia" w:ascii="仿宋" w:hAnsi="仿宋" w:eastAsia="仿宋" w:cs="仿宋"/>
                <w:sz w:val="28"/>
                <w:szCs w:val="28"/>
              </w:rPr>
            </w:pPr>
            <w:bookmarkStart w:id="1" w:name="_GoBack"/>
            <w:bookmarkEnd w:id="1"/>
            <w:r>
              <w:rPr>
                <w:rFonts w:hint="eastAsia" w:ascii="仿宋" w:hAnsi="仿宋" w:eastAsia="仿宋" w:cs="仿宋"/>
                <w:b/>
                <w:bCs/>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2.1</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2.2</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2.3</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229" w:type="pct"/>
            <w:vAlign w:val="center"/>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2.4</w:t>
            </w:r>
          </w:p>
        </w:tc>
        <w:tc>
          <w:tcPr>
            <w:tcW w:w="1240" w:type="pct"/>
            <w:vAlign w:val="center"/>
          </w:tcPr>
          <w:p>
            <w:pPr>
              <w:rPr>
                <w:rFonts w:hint="eastAsia" w:ascii="仿宋" w:hAnsi="仿宋" w:eastAsia="仿宋" w:cs="仿宋"/>
                <w:sz w:val="28"/>
                <w:szCs w:val="28"/>
              </w:rPr>
            </w:pPr>
          </w:p>
        </w:tc>
        <w:tc>
          <w:tcPr>
            <w:tcW w:w="2530" w:type="pct"/>
            <w:vAlign w:val="center"/>
          </w:tcPr>
          <w:p>
            <w:pPr>
              <w:rPr>
                <w:rFonts w:hint="eastAsia" w:ascii="仿宋" w:hAnsi="仿宋" w:eastAsia="仿宋" w:cs="仿宋"/>
                <w:sz w:val="28"/>
                <w:szCs w:val="28"/>
              </w:rPr>
            </w:pPr>
          </w:p>
        </w:tc>
      </w:tr>
    </w:tbl>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第二部分 供应商基础信息部分</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3408" w:type="pct"/>
            <w:vAlign w:val="center"/>
          </w:tcPr>
          <w:p>
            <w:pPr>
              <w:spacing w:line="360" w:lineRule="auto"/>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注册资金及实缴资本（万</w:t>
            </w:r>
            <w:r>
              <w:rPr>
                <w:rFonts w:hint="default" w:ascii="仿宋" w:hAnsi="仿宋" w:eastAsia="仿宋" w:cs="仿宋"/>
                <w:sz w:val="28"/>
                <w:szCs w:val="28"/>
              </w:rPr>
              <w:t>元</w:t>
            </w:r>
            <w:r>
              <w:rPr>
                <w:rFonts w:hint="eastAsia" w:ascii="仿宋" w:hAnsi="仿宋" w:eastAsia="仿宋" w:cs="仿宋"/>
                <w:sz w:val="28"/>
                <w:szCs w:val="28"/>
              </w:rPr>
              <w:t>）</w:t>
            </w:r>
          </w:p>
        </w:tc>
        <w:tc>
          <w:tcPr>
            <w:tcW w:w="3408" w:type="pct"/>
            <w:vAlign w:val="center"/>
          </w:tcPr>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注册资金：    万</w:t>
            </w:r>
            <w:r>
              <w:rPr>
                <w:rFonts w:hint="default" w:ascii="仿宋" w:hAnsi="仿宋" w:eastAsia="仿宋" w:cs="仿宋"/>
                <w:sz w:val="28"/>
                <w:szCs w:val="28"/>
              </w:rPr>
              <w:t>元</w:t>
            </w:r>
          </w:p>
          <w:p>
            <w:pPr>
              <w:spacing w:line="360" w:lineRule="auto"/>
              <w:ind w:left="0" w:leftChars="0" w:firstLine="0" w:firstLineChars="0"/>
              <w:rPr>
                <w:rFonts w:hint="default" w:ascii="仿宋" w:hAnsi="仿宋" w:eastAsia="仿宋" w:cs="仿宋"/>
                <w:sz w:val="28"/>
                <w:szCs w:val="28"/>
              </w:rPr>
            </w:pPr>
            <w:r>
              <w:rPr>
                <w:rFonts w:hint="eastAsia" w:ascii="仿宋" w:hAnsi="仿宋" w:eastAsia="仿宋" w:cs="仿宋"/>
                <w:sz w:val="28"/>
                <w:szCs w:val="28"/>
              </w:rPr>
              <w:t>实缴资金：    万</w:t>
            </w:r>
            <w:r>
              <w:rPr>
                <w:rFonts w:hint="default" w:ascii="仿宋" w:hAnsi="仿宋" w:eastAsia="仿宋" w:cs="仿宋"/>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公司注册所在地</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val="0"/>
                <w:bCs/>
                <w:color w:val="auto"/>
                <w:sz w:val="28"/>
                <w:szCs w:val="28"/>
              </w:rPr>
              <w:t>（如无法在本行开户则将无法参与本行项目招标工作）</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公司法人</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企业性质</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近三年年度关键财务指标</w:t>
            </w:r>
          </w:p>
        </w:tc>
        <w:tc>
          <w:tcPr>
            <w:tcW w:w="3408" w:type="pct"/>
            <w:vAlign w:val="center"/>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left"/>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企业资质、认证</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分公司名单</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公司员工数量</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联系人信息</w:t>
            </w:r>
          </w:p>
        </w:tc>
        <w:tc>
          <w:tcPr>
            <w:tcW w:w="3408" w:type="pct"/>
            <w:vAlign w:val="center"/>
          </w:tcPr>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姓名：</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职务：</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手机：</w:t>
            </w:r>
          </w:p>
          <w:p>
            <w:pPr>
              <w:spacing w:line="360" w:lineRule="auto"/>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经营范围</w:t>
            </w:r>
          </w:p>
        </w:tc>
        <w:tc>
          <w:tcPr>
            <w:tcW w:w="3408" w:type="pct"/>
            <w:vAlign w:val="center"/>
          </w:tcPr>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重大不良经营记录</w:t>
            </w: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GB"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简要陈述并</w:t>
            </w:r>
            <w:r>
              <w:rPr>
                <w:rFonts w:hint="eastAsia" w:ascii="仿宋" w:hAnsi="仿宋" w:eastAsia="仿宋" w:cs="仿宋"/>
                <w:color w:val="000000" w:themeColor="text1"/>
                <w:sz w:val="28"/>
                <w:szCs w:val="28"/>
                <w:lang w:val="en-GB" w:eastAsia="zh-CN"/>
                <w14:textFill>
                  <w14:solidFill>
                    <w14:schemeClr w14:val="tx1"/>
                  </w14:solidFill>
                </w14:textFill>
              </w:rPr>
              <w:t>说明公司最近三年在政府采购或金融行业采购过程中是否受到处罚。</w:t>
            </w:r>
          </w:p>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w:t>
            </w:r>
            <w:r>
              <w:rPr>
                <w:rFonts w:hint="eastAsia" w:ascii="仿宋" w:hAnsi="仿宋" w:eastAsia="仿宋" w:cs="仿宋"/>
                <w:color w:val="000000" w:themeColor="text1"/>
                <w:sz w:val="28"/>
                <w:szCs w:val="28"/>
                <w:lang w:val="en-GB" w:eastAsia="zh-CN"/>
                <w14:textFill>
                  <w14:solidFill>
                    <w14:schemeClr w14:val="tx1"/>
                  </w14:solidFill>
                </w14:textFill>
              </w:rPr>
              <w:t>违法失信、行政处罚、法律诉讼等负面信息</w:t>
            </w:r>
            <w:r>
              <w:rPr>
                <w:rFonts w:hint="eastAsia" w:ascii="仿宋" w:hAnsi="仿宋" w:eastAsia="仿宋" w:cs="仿宋"/>
                <w:color w:val="000000" w:themeColor="text1"/>
                <w:sz w:val="28"/>
                <w:szCs w:val="28"/>
                <w:lang w:val="en-US" w:eastAsia="zh-CN"/>
                <w14:textFill>
                  <w14:solidFill>
                    <w14:schemeClr w14:val="tx1"/>
                  </w14:solidFill>
                </w14:textFill>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信息安全</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591" w:type="pct"/>
            <w:vAlign w:val="center"/>
          </w:tcPr>
          <w:p>
            <w:pPr>
              <w:spacing w:line="360" w:lineRule="auto"/>
              <w:ind w:left="0" w:leftChars="0" w:firstLine="0" w:firstLineChars="0"/>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业务连续性</w:t>
            </w:r>
          </w:p>
          <w:p>
            <w:pPr>
              <w:spacing w:line="360"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p>
        </w:tc>
        <w:tc>
          <w:tcPr>
            <w:tcW w:w="3408" w:type="pct"/>
            <w:vAlign w:val="center"/>
          </w:tcPr>
          <w:p>
            <w:pPr>
              <w:spacing w:line="360" w:lineRule="auto"/>
              <w:ind w:left="0" w:leftChars="0" w:firstLine="0" w:firstLineChars="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简要说明业务连续性保障机制、服务响应方案（包含响应安排与服务团队介绍）（提供相关制度、服务响应方案扫描件）</w:t>
            </w:r>
          </w:p>
        </w:tc>
      </w:tr>
    </w:tbl>
    <w:p>
      <w:pPr>
        <w:keepNext w:val="0"/>
        <w:keepLines w:val="0"/>
        <w:pageBreakBefore w:val="0"/>
        <w:widowControl/>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w:t>
      </w:r>
      <w:r>
        <w:rPr>
          <w:rFonts w:hint="eastAsia" w:ascii="仿宋" w:hAnsi="仿宋" w:eastAsia="仿宋" w:cs="仿宋"/>
          <w:color w:val="000000" w:themeColor="text1"/>
          <w:sz w:val="28"/>
          <w:szCs w:val="28"/>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四、近三年经公司内部审核流程审定的</w:t>
      </w:r>
      <w:r>
        <w:rPr>
          <w:rFonts w:hint="eastAsia" w:ascii="仿宋" w:hAnsi="仿宋" w:eastAsia="仿宋" w:cs="仿宋"/>
          <w:color w:val="000000" w:themeColor="text1"/>
          <w:sz w:val="28"/>
          <w:szCs w:val="28"/>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28"/>
          <w:szCs w:val="28"/>
          <w:highlight w:val="none"/>
          <w:lang w:val="en-US" w:eastAsia="zh-CN"/>
          <w14:textFill>
            <w14:solidFill>
              <w14:schemeClr w14:val="tx1"/>
            </w14:solidFill>
          </w14:textFill>
        </w:rPr>
        <w:t>原件扫描件</w:t>
      </w:r>
      <w:r>
        <w:rPr>
          <w:rFonts w:hint="eastAsia" w:ascii="仿宋" w:hAnsi="仿宋" w:eastAsia="仿宋" w:cs="仿宋"/>
          <w:color w:val="000000" w:themeColor="text1"/>
          <w:sz w:val="28"/>
          <w:szCs w:val="28"/>
          <w:highlight w:val="none"/>
          <w14:textFill>
            <w14:solidFill>
              <w14:schemeClr w14:val="tx1"/>
            </w14:solidFill>
          </w14:textFill>
        </w:rPr>
        <w:t>或有效的企业资信证明材料</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28"/>
          <w:szCs w:val="28"/>
          <w:highlight w:val="none"/>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五、提供</w:t>
      </w:r>
      <w:r>
        <w:rPr>
          <w:rFonts w:hint="eastAsia" w:ascii="仿宋" w:hAnsi="仿宋" w:eastAsia="仿宋" w:cs="仿宋"/>
          <w:color w:val="000000" w:themeColor="text1"/>
          <w:sz w:val="28"/>
          <w:szCs w:val="28"/>
          <w:lang w:val="en-GB" w:eastAsia="zh-CN"/>
          <w14:textFill>
            <w14:solidFill>
              <w14:schemeClr w14:val="tx1"/>
            </w14:solidFill>
          </w14:textFill>
        </w:rPr>
        <w:t>“信用中国”、“中国执行信息公开网”、“中国政府采购网”、“国家企业信用信息公示系统”等平台</w:t>
      </w:r>
      <w:r>
        <w:rPr>
          <w:rFonts w:hint="eastAsia" w:ascii="仿宋" w:hAnsi="仿宋" w:eastAsia="仿宋" w:cs="仿宋"/>
          <w:color w:val="000000" w:themeColor="text1"/>
          <w:sz w:val="28"/>
          <w:szCs w:val="28"/>
          <w:lang w:val="en-US" w:eastAsia="zh-CN"/>
          <w14:textFill>
            <w14:solidFill>
              <w14:schemeClr w14:val="tx1"/>
            </w14:solidFill>
          </w14:textFill>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bCs/>
          <w:color w:val="0000FF"/>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七、提供业务连续性管理相关制度、服务响应方案扫描件</w:t>
      </w:r>
    </w:p>
    <w:p>
      <w:pPr>
        <w:keepNext w:val="0"/>
        <w:keepLines w:val="0"/>
        <w:pageBreakBefore w:val="0"/>
        <w:widowControl w:val="0"/>
        <w:kinsoku/>
        <w:wordWrap/>
        <w:overflowPunct/>
        <w:topLinePunct w:val="0"/>
        <w:autoSpaceDE/>
        <w:autoSpaceDN/>
        <w:bidi w:val="0"/>
        <w:adjustRightInd/>
        <w:snapToGrid/>
        <w:spacing w:before="100" w:after="100" w:line="360" w:lineRule="auto"/>
        <w:ind w:left="0" w:leftChars="0" w:firstLine="0" w:firstLineChars="0"/>
        <w:jc w:val="center"/>
        <w:textAlignment w:val="auto"/>
        <w:outlineLvl w:val="0"/>
        <w:rPr>
          <w:rFonts w:hint="eastAsia" w:ascii="仿宋" w:hAnsi="仿宋" w:eastAsia="仿宋" w:cs="仿宋"/>
          <w:b/>
          <w:bCs/>
          <w:sz w:val="32"/>
          <w:szCs w:val="32"/>
        </w:rPr>
      </w:pPr>
      <w:r>
        <w:rPr>
          <w:rFonts w:hint="eastAsia" w:ascii="方正小标宋简体" w:hAnsi="方正小标宋简体" w:eastAsia="方正小标宋简体" w:cs="方正小标宋简体"/>
          <w:b/>
          <w:bCs/>
          <w:sz w:val="32"/>
          <w:szCs w:val="32"/>
        </w:rPr>
        <w:t>第三部分 与本项目相关的案例情况</w:t>
      </w:r>
    </w:p>
    <w:p>
      <w:pPr>
        <w:outlineLvl w:val="0"/>
        <w:rPr>
          <w:rFonts w:hint="eastAsia"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color w:val="auto"/>
          <w:sz w:val="28"/>
          <w:szCs w:val="28"/>
        </w:rPr>
        <w:t>2021-2023年度开展的银行业</w:t>
      </w:r>
      <w:r>
        <w:rPr>
          <w:rFonts w:hint="eastAsia" w:ascii="仿宋" w:hAnsi="仿宋" w:eastAsia="仿宋" w:cs="仿宋"/>
          <w:b/>
          <w:bCs/>
          <w:color w:val="auto"/>
          <w:sz w:val="28"/>
          <w:szCs w:val="28"/>
          <w:lang w:val="en-US" w:eastAsia="zh-CN"/>
        </w:rPr>
        <w:t>类似</w:t>
      </w:r>
      <w:r>
        <w:rPr>
          <w:rFonts w:hint="eastAsia" w:ascii="仿宋" w:hAnsi="仿宋" w:eastAsia="仿宋" w:cs="仿宋"/>
          <w:b/>
          <w:bCs/>
          <w:color w:val="auto"/>
          <w:sz w:val="28"/>
          <w:szCs w:val="28"/>
        </w:rPr>
        <w:t>项目</w:t>
      </w:r>
      <w:r>
        <w:rPr>
          <w:rFonts w:hint="eastAsia" w:ascii="仿宋" w:hAnsi="仿宋" w:eastAsia="仿宋" w:cs="仿宋"/>
          <w:b/>
          <w:bCs/>
          <w:sz w:val="28"/>
          <w:szCs w:val="28"/>
        </w:rPr>
        <w:t>》相关案例情况：</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8"/>
        <w:gridCol w:w="2161"/>
        <w:gridCol w:w="235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268"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382"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1071" w:type="pct"/>
            <w:vAlign w:val="center"/>
          </w:tcPr>
          <w:p>
            <w:pPr>
              <w:ind w:left="0" w:leftChars="0" w:firstLine="0" w:firstLineChars="0"/>
              <w:jc w:val="center"/>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278" w:type="pct"/>
          </w:tcPr>
          <w:p>
            <w:pPr>
              <w:ind w:left="0" w:leftChars="0" w:firstLine="0" w:firstLineChars="0"/>
              <w:jc w:val="center"/>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268" w:type="pct"/>
          </w:tcPr>
          <w:p>
            <w:pPr>
              <w:ind w:left="0" w:leftChars="0" w:firstLine="0" w:firstLineChars="0"/>
              <w:rPr>
                <w:rFonts w:hint="eastAsia" w:ascii="仿宋" w:hAnsi="仿宋" w:eastAsia="仿宋" w:cs="仿宋"/>
                <w:sz w:val="28"/>
                <w:szCs w:val="28"/>
              </w:rPr>
            </w:pPr>
          </w:p>
        </w:tc>
        <w:tc>
          <w:tcPr>
            <w:tcW w:w="1382" w:type="pct"/>
          </w:tcPr>
          <w:p>
            <w:pPr>
              <w:ind w:left="0" w:leftChars="0" w:firstLine="0" w:firstLineChars="0"/>
              <w:rPr>
                <w:rFonts w:hint="eastAsia" w:ascii="仿宋" w:hAnsi="仿宋" w:eastAsia="仿宋" w:cs="仿宋"/>
                <w:sz w:val="28"/>
                <w:szCs w:val="28"/>
              </w:rPr>
            </w:pPr>
          </w:p>
        </w:tc>
        <w:tc>
          <w:tcPr>
            <w:tcW w:w="1071" w:type="pct"/>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8" w:type="pct"/>
          </w:tcPr>
          <w:p>
            <w:pPr>
              <w:rPr>
                <w:rFonts w:hint="eastAsia" w:ascii="仿宋" w:hAnsi="仿宋" w:eastAsia="仿宋" w:cs="仿宋"/>
                <w:sz w:val="28"/>
                <w:szCs w:val="28"/>
              </w:rPr>
            </w:pPr>
          </w:p>
        </w:tc>
        <w:tc>
          <w:tcPr>
            <w:tcW w:w="1268" w:type="pct"/>
          </w:tcPr>
          <w:p>
            <w:pPr>
              <w:rPr>
                <w:rFonts w:hint="eastAsia" w:ascii="仿宋" w:hAnsi="仿宋" w:eastAsia="仿宋" w:cs="仿宋"/>
                <w:sz w:val="28"/>
                <w:szCs w:val="28"/>
              </w:rPr>
            </w:pPr>
          </w:p>
        </w:tc>
        <w:tc>
          <w:tcPr>
            <w:tcW w:w="1382" w:type="pct"/>
          </w:tcPr>
          <w:p>
            <w:pPr>
              <w:rPr>
                <w:rFonts w:hint="eastAsia" w:ascii="仿宋" w:hAnsi="仿宋" w:eastAsia="仿宋" w:cs="仿宋"/>
                <w:sz w:val="28"/>
                <w:szCs w:val="28"/>
              </w:rPr>
            </w:pPr>
          </w:p>
        </w:tc>
        <w:tc>
          <w:tcPr>
            <w:tcW w:w="1071" w:type="pct"/>
          </w:tcPr>
          <w:p>
            <w:pPr>
              <w:rPr>
                <w:rFonts w:hint="eastAsia" w:ascii="仿宋" w:hAnsi="仿宋" w:eastAsia="仿宋" w:cs="仿宋"/>
                <w:sz w:val="28"/>
                <w:szCs w:val="28"/>
              </w:rPr>
            </w:pPr>
          </w:p>
        </w:tc>
      </w:tr>
    </w:tbl>
    <w:p>
      <w:pPr>
        <w:ind w:left="0" w:leftChars="0" w:firstLine="0" w:firstLineChars="0"/>
        <w:jc w:val="center"/>
        <w:outlineLvl w:val="0"/>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第四部分 详细介绍</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rPr>
        <w:t>一、公司简介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color w:val="0000FF"/>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color w:val="0000FF"/>
          <w:sz w:val="28"/>
          <w:szCs w:val="28"/>
          <w:lang w:eastAsia="zh-CN"/>
        </w:rPr>
      </w:pPr>
      <w:r>
        <w:rPr>
          <w:rFonts w:hint="eastAsia" w:ascii="仿宋" w:hAnsi="仿宋" w:eastAsia="仿宋" w:cs="仿宋"/>
          <w:b/>
          <w:bCs w:val="0"/>
          <w:sz w:val="28"/>
          <w:szCs w:val="28"/>
        </w:rPr>
        <w:t>二、公司资质、认证等材料</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扫描件</w:t>
      </w:r>
      <w:r>
        <w:rPr>
          <w:rFonts w:hint="eastAsia" w:ascii="仿宋" w:hAnsi="仿宋" w:eastAsia="仿宋" w:cs="仿宋"/>
          <w:b/>
          <w:bCs w:val="0"/>
          <w:color w:val="000000" w:themeColor="text1"/>
          <w:sz w:val="28"/>
          <w:szCs w:val="28"/>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Cs/>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（四）技术能力介绍：①公司拥有的自主知识产权名称、数量（须提供扫描件作为证明）</w:t>
      </w:r>
      <w:r>
        <w:rPr>
          <w:rFonts w:hint="default"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②行业内龙头企业排名或优质企业资质认证材料。</w:t>
      </w:r>
    </w:p>
    <w:p>
      <w:pPr>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outlineLvl w:val="1"/>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三、</w:t>
      </w:r>
      <w:r>
        <w:rPr>
          <w:rFonts w:hint="eastAsia" w:ascii="仿宋" w:hAnsi="仿宋" w:eastAsia="仿宋" w:cs="仿宋"/>
          <w:b/>
          <w:bCs w:val="0"/>
          <w:sz w:val="28"/>
          <w:szCs w:val="28"/>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包括但不限于：银行业的实施案例：国有银行或全国性股份制商业银行总行近三年内相关领域案例。</w:t>
      </w:r>
    </w:p>
    <w:p>
      <w:pPr>
        <w:keepNext w:val="0"/>
        <w:keepLines w:val="0"/>
        <w:pageBreakBefore w:val="0"/>
        <w:kinsoku/>
        <w:wordWrap/>
        <w:overflowPunct/>
        <w:topLinePunct w:val="0"/>
        <w:autoSpaceDE/>
        <w:autoSpaceDN/>
        <w:bidi w:val="0"/>
        <w:adjustRightInd/>
        <w:snapToGrid/>
        <w:spacing w:line="360" w:lineRule="auto"/>
        <w:ind w:left="0" w:leftChars="0" w:firstLine="560" w:firstLineChars="200"/>
        <w:textAlignment w:val="auto"/>
        <w:outlineLvl w:val="1"/>
        <w:rPr>
          <w:rFonts w:hint="eastAsia" w:ascii="仿宋" w:hAnsi="仿宋" w:eastAsia="仿宋" w:cs="仿宋"/>
          <w:bCs/>
          <w:sz w:val="28"/>
          <w:szCs w:val="28"/>
        </w:rPr>
      </w:pPr>
      <w:r>
        <w:rPr>
          <w:rFonts w:hint="eastAsia" w:ascii="仿宋" w:hAnsi="仿宋" w:eastAsia="仿宋" w:cs="仿宋"/>
          <w:bCs/>
          <w:sz w:val="28"/>
          <w:szCs w:val="28"/>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60" w:lineRule="auto"/>
        <w:ind w:firstLine="560" w:firstLineChars="200"/>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4"/>
        <w:gridCol w:w="1691"/>
        <w:gridCol w:w="1265"/>
        <w:gridCol w:w="1231"/>
        <w:gridCol w:w="1275"/>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7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160" w:leftChars="-50" w:right="-160" w:rightChars="-5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1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c>
          <w:tcPr>
            <w:tcW w:w="12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both"/>
              <w:rPr>
                <w:rFonts w:hint="eastAsia" w:ascii="仿宋" w:hAnsi="仿宋" w:eastAsia="仿宋" w:cs="仿宋"/>
                <w:i w:val="0"/>
                <w:iCs w:val="0"/>
                <w:color w:val="000000"/>
                <w:sz w:val="28"/>
                <w:szCs w:val="28"/>
                <w:u w:val="none"/>
              </w:rPr>
            </w:pPr>
          </w:p>
        </w:tc>
      </w:tr>
    </w:tbl>
    <w:p>
      <w:pPr>
        <w:pStyle w:val="4"/>
        <w:ind w:left="0" w:leftChars="0" w:firstLine="0" w:firstLineChars="0"/>
        <w:rPr>
          <w:rFonts w:hint="eastAsia" w:ascii="仿宋" w:hAnsi="仿宋" w:eastAsia="仿宋" w:cs="仿宋"/>
          <w:sz w:val="32"/>
          <w:szCs w:val="32"/>
        </w:rPr>
      </w:pPr>
    </w:p>
    <w:p>
      <w:pPr>
        <w:pStyle w:val="4"/>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ABC61A23-AB50-4C82-AEA9-421DDFD79949}"/>
  </w:font>
  <w:font w:name="仿宋">
    <w:panose1 w:val="02010609060101010101"/>
    <w:charset w:val="86"/>
    <w:family w:val="modern"/>
    <w:pitch w:val="default"/>
    <w:sig w:usb0="800002BF" w:usb1="38CF7CFA" w:usb2="00000016" w:usb3="00000000" w:csb0="00040001" w:csb1="00000000"/>
    <w:embedRegular r:id="rId2" w:fontKey="{EA1D8FDF-0EBA-472A-B398-64CF29E9D646}"/>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ZjBlOWQ1NTZjMDliY2ZhZTk4ODgwNDAzYTMyMDEifQ=="/>
    <w:docVar w:name="KSO_WPS_MARK_KEY" w:val="8a835c6f-fa03-4474-bf48-9f5e5f9e1852"/>
  </w:docVars>
  <w:rsids>
    <w:rsidRoot w:val="00000000"/>
    <w:rsid w:val="1F4E6A8F"/>
    <w:rsid w:val="210B657F"/>
    <w:rsid w:val="27146BB8"/>
    <w:rsid w:val="2B7500EF"/>
    <w:rsid w:val="3FB90D14"/>
    <w:rsid w:val="4A454C3E"/>
    <w:rsid w:val="61E47FF3"/>
    <w:rsid w:val="625E2671"/>
    <w:rsid w:val="69295A8E"/>
    <w:rsid w:val="7F7F93E8"/>
    <w:rsid w:val="BFAF79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1692</Words>
  <Characters>1746</Characters>
  <Lines>0</Lines>
  <Paragraphs>0</Paragraphs>
  <TotalTime>1</TotalTime>
  <ScaleCrop>false</ScaleCrop>
  <LinksUpToDate>false</LinksUpToDate>
  <CharactersWithSpaces>1766</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2024-05-06T18:47:00Z</dcterms:created>
  <dc:creator>cib</dc:creator>
  <cp:lastModifiedBy>_龙阿翔</cp:lastModifiedBy>
  <dcterms:modified xsi:type="dcterms:W3CDTF">2024-08-13T15:43:36Z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2052-11.1.0.15320</vt:lpwstr>
  </property>
  <property fmtid="{D5CDD505-2E9C-101B-9397-08002B2CF9AE}" pid="3" name="ICV">
    <vt:lpwstr>F83A8A3D8CDA4C9CB4758B0A51FD73B0_12</vt:lpwstr>
  </property>
</Properties>
</file>